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56E74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24EFBC83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44954D36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0A4ECA22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6A42D820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1A674F60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64F7E5BE">
      <w:pPr>
        <w:jc w:val="center"/>
        <w:rPr>
          <w:rFonts w:ascii="黑体" w:eastAsia="黑体"/>
          <w:sz w:val="72"/>
          <w:szCs w:val="72"/>
        </w:rPr>
      </w:pPr>
    </w:p>
    <w:p w14:paraId="59F5D44C">
      <w:pPr>
        <w:pStyle w:val="3"/>
        <w:ind w:firstLine="0" w:firstLineChars="0"/>
        <w:jc w:val="center"/>
        <w:rPr>
          <w:rFonts w:hint="eastAsia" w:ascii="黑体" w:hAnsi="黑体" w:eastAsia="黑体" w:cs="宋体"/>
          <w:bCs/>
          <w:sz w:val="48"/>
          <w:szCs w:val="48"/>
        </w:rPr>
      </w:pPr>
      <w:r>
        <w:rPr>
          <w:rFonts w:hint="eastAsia" w:ascii="黑体" w:hAnsi="黑体" w:eastAsia="黑体" w:cs="宋体"/>
          <w:bCs/>
          <w:sz w:val="48"/>
          <w:szCs w:val="48"/>
          <w:lang w:val="en-US" w:eastAsia="zh-CN"/>
        </w:rPr>
        <w:t>塔城地区</w:t>
      </w:r>
      <w:r>
        <w:rPr>
          <w:rFonts w:hint="eastAsia" w:ascii="黑体" w:hAnsi="黑体" w:eastAsia="黑体" w:cs="宋体"/>
          <w:bCs/>
          <w:sz w:val="48"/>
          <w:szCs w:val="48"/>
        </w:rPr>
        <w:t>公共资源交易平台</w:t>
      </w:r>
    </w:p>
    <w:p w14:paraId="4205DB7A">
      <w:pPr>
        <w:pStyle w:val="3"/>
        <w:ind w:firstLine="0" w:firstLineChars="0"/>
        <w:jc w:val="center"/>
        <w:rPr>
          <w:rFonts w:hint="eastAsia" w:ascii="黑体" w:hAnsi="黑体" w:eastAsia="黑体" w:cs="宋体"/>
          <w:bCs/>
          <w:sz w:val="48"/>
          <w:szCs w:val="48"/>
          <w:lang w:val="en-US" w:eastAsia="zh-CN"/>
        </w:rPr>
      </w:pPr>
      <w:r>
        <w:rPr>
          <w:rFonts w:hint="eastAsia" w:ascii="黑体" w:hAnsi="黑体" w:eastAsia="黑体" w:cs="宋体"/>
          <w:bCs/>
          <w:sz w:val="48"/>
          <w:szCs w:val="48"/>
          <w:lang w:val="en-US" w:eastAsia="zh-CN"/>
        </w:rPr>
        <w:t>交易主体</w:t>
      </w:r>
      <w:r>
        <w:rPr>
          <w:rFonts w:hint="eastAsia" w:ascii="黑体" w:hAnsi="黑体" w:eastAsia="黑体" w:cs="宋体"/>
          <w:bCs/>
          <w:sz w:val="48"/>
          <w:szCs w:val="48"/>
        </w:rPr>
        <w:t>信息入库操作手册</w:t>
      </w:r>
      <w:bookmarkStart w:id="25" w:name="_GoBack"/>
      <w:bookmarkEnd w:id="25"/>
    </w:p>
    <w:p w14:paraId="6473C9F9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2E7F32E1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2A956FD4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0C36DB7A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2E3E640A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3FD65C8D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137ED682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655EC959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6B6F5446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3E20C387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4801BC50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</w:p>
    <w:p w14:paraId="4E5D7D78">
      <w:pPr>
        <w:pStyle w:val="3"/>
        <w:ind w:firstLine="0" w:firstLineChars="0"/>
        <w:jc w:val="center"/>
        <w:rPr>
          <w:rFonts w:ascii="黑体" w:eastAsia="黑体"/>
          <w:sz w:val="48"/>
          <w:szCs w:val="48"/>
        </w:rPr>
      </w:pPr>
    </w:p>
    <w:p w14:paraId="44DEDA61">
      <w:pPr>
        <w:pStyle w:val="3"/>
        <w:ind w:firstLine="0" w:firstLineChars="0"/>
        <w:jc w:val="center"/>
        <w:rPr>
          <w:rFonts w:ascii="黑体" w:eastAsia="黑体"/>
          <w:sz w:val="48"/>
          <w:szCs w:val="48"/>
        </w:rPr>
      </w:pPr>
    </w:p>
    <w:p w14:paraId="67761DC4">
      <w:pPr>
        <w:jc w:val="center"/>
        <w:rPr>
          <w:rFonts w:ascii="黑体" w:eastAsia="黑体"/>
          <w:sz w:val="44"/>
          <w:szCs w:val="44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/>
        </w:rPr>
        <w:id w:val="334492238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/>
        </w:rPr>
      </w:sdtEndPr>
      <w:sdtContent>
        <w:p w14:paraId="198F712F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5B3359D8">
          <w:pPr>
            <w:pStyle w:val="12"/>
            <w:tabs>
              <w:tab w:val="right" w:leader="dot" w:pos="8306"/>
              <w:tab w:val="clear" w:pos="420"/>
              <w:tab w:val="clear" w:pos="8296"/>
            </w:tabs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_Toc7486 </w:instrText>
          </w:r>
          <w:r>
            <w:fldChar w:fldCharType="separate"/>
          </w:r>
          <w:r>
            <w:rPr>
              <w:rFonts w:ascii="宋体" w:hAnsi="宋体"/>
            </w:rPr>
            <w:t xml:space="preserve">一. </w:t>
          </w:r>
          <w:r>
            <w:rPr>
              <w:rFonts w:hint="eastAsia" w:ascii="宋体" w:hAnsi="宋体"/>
            </w:rPr>
            <w:t>准备工作</w:t>
          </w:r>
          <w:r>
            <w:tab/>
          </w:r>
          <w:r>
            <w:fldChar w:fldCharType="begin"/>
          </w:r>
          <w:r>
            <w:instrText xml:space="preserve"> PAGEREF _Toc7486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B5F26F3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_Toc21883 </w:instrText>
          </w:r>
          <w:r>
            <w:fldChar w:fldCharType="separate"/>
          </w:r>
          <w:r>
            <w:t xml:space="preserve">1.1. </w:t>
          </w:r>
          <w:r>
            <w:rPr>
              <w:rFonts w:hint="eastAsia"/>
            </w:rPr>
            <w:t>系统软硬件要求</w:t>
          </w:r>
          <w:r>
            <w:tab/>
          </w:r>
          <w:r>
            <w:fldChar w:fldCharType="begin"/>
          </w:r>
          <w:r>
            <w:instrText xml:space="preserve"> PAGEREF _Toc21883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AED0B74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_Toc26939 </w:instrText>
          </w:r>
          <w:r>
            <w:fldChar w:fldCharType="separate"/>
          </w:r>
          <w:r>
            <w:t>1.2. IE</w:t>
          </w:r>
          <w:r>
            <w:rPr>
              <w:rFonts w:hint="eastAsia"/>
            </w:rPr>
            <w:t>设置</w:t>
          </w:r>
          <w:r>
            <w:tab/>
          </w:r>
          <w:r>
            <w:fldChar w:fldCharType="begin"/>
          </w:r>
          <w:r>
            <w:instrText xml:space="preserve"> PAGEREF _Toc26939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52E58B9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_Toc6598 </w:instrText>
          </w:r>
          <w:r>
            <w:fldChar w:fldCharType="separate"/>
          </w:r>
          <w:r>
            <w:t>1.3. 驱动下载</w:t>
          </w:r>
          <w:r>
            <w:tab/>
          </w:r>
          <w:r>
            <w:fldChar w:fldCharType="begin"/>
          </w:r>
          <w:r>
            <w:instrText xml:space="preserve"> PAGEREF _Toc6598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FAC5C95">
          <w:pPr>
            <w:pStyle w:val="12"/>
            <w:tabs>
              <w:tab w:val="right" w:leader="dot" w:pos="8306"/>
              <w:tab w:val="clear" w:pos="420"/>
              <w:tab w:val="clear" w:pos="8296"/>
            </w:tabs>
          </w:pPr>
          <w:r>
            <w:fldChar w:fldCharType="begin"/>
          </w:r>
          <w:r>
            <w:instrText xml:space="preserve"> HYPERLINK \l _Toc8496 </w:instrText>
          </w:r>
          <w:r>
            <w:fldChar w:fldCharType="separate"/>
          </w:r>
          <w:r>
            <w:rPr>
              <w:rFonts w:ascii="宋体" w:hAnsi="宋体"/>
            </w:rPr>
            <w:t>二. 入库操作</w:t>
          </w:r>
          <w:r>
            <w:tab/>
          </w:r>
          <w:r>
            <w:fldChar w:fldCharType="begin"/>
          </w:r>
          <w:r>
            <w:instrText xml:space="preserve"> PAGEREF _Toc8496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3B3822D4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_Toc27266 </w:instrText>
          </w:r>
          <w:r>
            <w:fldChar w:fldCharType="separate"/>
          </w:r>
          <w:r>
            <w:rPr>
              <w:rFonts w:hint="default"/>
            </w:rPr>
            <w:t xml:space="preserve">1、 </w:t>
          </w:r>
          <w:r>
            <w:t>账号注册</w:t>
          </w:r>
          <w:r>
            <w:tab/>
          </w:r>
          <w:r>
            <w:fldChar w:fldCharType="begin"/>
          </w:r>
          <w:r>
            <w:instrText xml:space="preserve"> PAGEREF _Toc27266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050B833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_Toc12238 </w:instrText>
          </w:r>
          <w:r>
            <w:fldChar w:fldCharType="separate"/>
          </w:r>
          <w:r>
            <w:rPr>
              <w:rFonts w:hint="eastAsia"/>
            </w:rPr>
            <w:t>1</w:t>
          </w:r>
          <w:r>
            <w:t>.1免费注册</w:t>
          </w:r>
          <w:r>
            <w:tab/>
          </w:r>
          <w:r>
            <w:fldChar w:fldCharType="begin"/>
          </w:r>
          <w:r>
            <w:instrText xml:space="preserve"> PAGEREF _Toc12238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5126E7B3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_Toc31826 </w:instrText>
          </w:r>
          <w:r>
            <w:fldChar w:fldCharType="separate"/>
          </w:r>
          <w:r>
            <w:rPr>
              <w:rFonts w:hint="eastAsia"/>
            </w:rPr>
            <w:t>1.</w:t>
          </w:r>
          <w:r>
            <w:t>2完善信息</w:t>
          </w:r>
          <w:r>
            <w:tab/>
          </w:r>
          <w:r>
            <w:fldChar w:fldCharType="begin"/>
          </w:r>
          <w:r>
            <w:instrText xml:space="preserve"> PAGEREF _Toc31826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ACEBB1F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_Toc251 </w:instrText>
          </w:r>
          <w:r>
            <w:fldChar w:fldCharType="separate"/>
          </w:r>
          <w:r>
            <w:rPr>
              <w:rFonts w:hint="eastAsia"/>
            </w:rPr>
            <w:t>1.</w:t>
          </w:r>
          <w:r>
            <w:t>2.1基本信息</w:t>
          </w:r>
          <w:r>
            <w:tab/>
          </w:r>
          <w:r>
            <w:fldChar w:fldCharType="begin"/>
          </w:r>
          <w:r>
            <w:instrText xml:space="preserve"> PAGEREF _Toc251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C14FB33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_Toc13841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1.2.2绑定CA</w:t>
          </w:r>
          <w:r>
            <w:tab/>
          </w:r>
          <w:r>
            <w:fldChar w:fldCharType="begin"/>
          </w:r>
          <w:r>
            <w:instrText xml:space="preserve"> PAGEREF _Toc13841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30EC11B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_Toc2185 </w:instrText>
          </w:r>
          <w:r>
            <w:fldChar w:fldCharType="separate"/>
          </w:r>
          <w:r>
            <w:t xml:space="preserve">2  </w:t>
          </w:r>
          <w:r>
            <w:rPr>
              <w:rFonts w:hint="eastAsia"/>
            </w:rPr>
            <w:t>房建市政类单位入库：</w:t>
          </w:r>
          <w:r>
            <w:tab/>
          </w:r>
          <w:r>
            <w:fldChar w:fldCharType="begin"/>
          </w:r>
          <w:r>
            <w:instrText xml:space="preserve"> PAGEREF _Toc2185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EBF3612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_Toc19236 </w:instrText>
          </w:r>
          <w:r>
            <w:fldChar w:fldCharType="separate"/>
          </w:r>
          <w:r>
            <w:t xml:space="preserve">3  </w:t>
          </w:r>
          <w:r>
            <w:rPr>
              <w:rFonts w:hint="eastAsia"/>
              <w:lang w:val="en-US" w:eastAsia="zh-CN"/>
            </w:rPr>
            <w:t>水利、交通等工程类投标单位、</w:t>
          </w:r>
          <w:r>
            <w:rPr>
              <w:rFonts w:hint="eastAsia"/>
            </w:rPr>
            <w:t>招标代理、供应商</w:t>
          </w:r>
          <w:r>
            <w:rPr>
              <w:rFonts w:hint="eastAsia"/>
              <w:lang w:val="en-US" w:eastAsia="zh-CN"/>
            </w:rPr>
            <w:t>入库</w:t>
          </w:r>
          <w:r>
            <w:tab/>
          </w:r>
          <w:r>
            <w:fldChar w:fldCharType="begin"/>
          </w:r>
          <w:r>
            <w:instrText xml:space="preserve"> PAGEREF _Toc19236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4F39D107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_Toc26557 </w:instrText>
          </w:r>
          <w:r>
            <w:fldChar w:fldCharType="separate"/>
          </w:r>
          <w:r>
            <w:t>3.1</w:t>
          </w:r>
          <w:r>
            <w:rPr>
              <w:rFonts w:hint="eastAsia"/>
              <w:lang w:val="en-US" w:eastAsia="zh-CN"/>
            </w:rPr>
            <w:t>职业人员</w:t>
          </w:r>
          <w:r>
            <w:tab/>
          </w:r>
          <w:r>
            <w:fldChar w:fldCharType="begin"/>
          </w:r>
          <w:r>
            <w:instrText xml:space="preserve"> PAGEREF _Toc26557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06D19DBC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_Toc28004 </w:instrText>
          </w:r>
          <w:r>
            <w:fldChar w:fldCharType="separate"/>
          </w:r>
          <w:r>
            <w:t>3.2</w:t>
          </w:r>
          <w:r>
            <w:rPr>
              <w:rFonts w:hint="eastAsia"/>
              <w:lang w:val="en-US" w:eastAsia="zh-CN"/>
            </w:rPr>
            <w:t>经营资质</w:t>
          </w:r>
          <w:r>
            <w:tab/>
          </w:r>
          <w:r>
            <w:fldChar w:fldCharType="begin"/>
          </w:r>
          <w:r>
            <w:instrText xml:space="preserve"> PAGEREF _Toc28004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72678139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_Toc28683 </w:instrText>
          </w:r>
          <w:r>
            <w:fldChar w:fldCharType="separate"/>
          </w:r>
          <w:r>
            <w:t>3.3人员职业资格</w:t>
          </w:r>
          <w:r>
            <w:tab/>
          </w:r>
          <w:r>
            <w:fldChar w:fldCharType="begin"/>
          </w:r>
          <w:r>
            <w:instrText xml:space="preserve"> PAGEREF _Toc28683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7EBAABB4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_Toc31598 </w:instrText>
          </w:r>
          <w:r>
            <w:fldChar w:fldCharType="separate"/>
          </w:r>
          <w:r>
            <w:t>3.4</w:t>
          </w:r>
          <w:r>
            <w:rPr>
              <w:rFonts w:hint="eastAsia"/>
              <w:lang w:val="en-US" w:eastAsia="zh-CN"/>
            </w:rPr>
            <w:t>投标业绩</w:t>
          </w:r>
          <w:r>
            <w:tab/>
          </w:r>
          <w:r>
            <w:fldChar w:fldCharType="begin"/>
          </w:r>
          <w:r>
            <w:instrText xml:space="preserve"> PAGEREF _Toc31598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0CA98C5A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_Toc29872 </w:instrText>
          </w:r>
          <w:r>
            <w:fldChar w:fldCharType="separate"/>
          </w:r>
          <w:r>
            <w:t>3.5</w:t>
          </w:r>
          <w:r>
            <w:rPr>
              <w:rFonts w:hint="eastAsia"/>
              <w:lang w:val="en-US" w:eastAsia="zh-CN"/>
            </w:rPr>
            <w:t>企业获奖</w:t>
          </w:r>
          <w:r>
            <w:tab/>
          </w:r>
          <w:r>
            <w:fldChar w:fldCharType="begin"/>
          </w:r>
          <w:r>
            <w:instrText xml:space="preserve"> PAGEREF _Toc29872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38E82078">
          <w:pPr>
            <w:pStyle w:val="13"/>
            <w:tabs>
              <w:tab w:val="right" w:leader="dot" w:pos="8306"/>
              <w:tab w:val="clear" w:pos="1845"/>
              <w:tab w:val="clear" w:pos="8296"/>
            </w:tabs>
          </w:pPr>
          <w:r>
            <w:fldChar w:fldCharType="begin"/>
          </w:r>
          <w:r>
            <w:instrText xml:space="preserve"> HYPERLINK \l _Toc30296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3.6各类证书、企业财务、投标所需材料等</w:t>
          </w:r>
          <w:r>
            <w:tab/>
          </w:r>
          <w:r>
            <w:fldChar w:fldCharType="begin"/>
          </w:r>
          <w:r>
            <w:instrText xml:space="preserve"> PAGEREF _Toc30296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4EF93298">
          <w:r>
            <w:fldChar w:fldCharType="end"/>
          </w:r>
        </w:p>
      </w:sdtContent>
    </w:sdt>
    <w:p w14:paraId="7635A117">
      <w:pPr>
        <w:pStyle w:val="3"/>
        <w:ind w:firstLine="0" w:firstLineChars="0"/>
        <w:jc w:val="center"/>
        <w:rPr>
          <w:rFonts w:ascii="宋体" w:hAnsi="宋体"/>
          <w:b/>
          <w:bCs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F3D1122">
      <w:pPr>
        <w:pStyle w:val="3"/>
        <w:ind w:firstLine="0" w:firstLineChars="0"/>
        <w:rPr>
          <w:rFonts w:ascii="宋体" w:hAnsi="宋体"/>
          <w:b/>
          <w:bCs/>
        </w:rPr>
      </w:pPr>
    </w:p>
    <w:p w14:paraId="7D5A276A">
      <w:pPr>
        <w:pStyle w:val="2"/>
        <w:rPr>
          <w:rFonts w:ascii="宋体" w:hAnsi="宋体"/>
        </w:rPr>
      </w:pPr>
      <w:bookmarkStart w:id="0" w:name="_Toc410488262"/>
      <w:bookmarkStart w:id="1" w:name="_Toc7486"/>
      <w:bookmarkStart w:id="2" w:name="_Toc446944918"/>
      <w:bookmarkStart w:id="3" w:name="_Toc446946553"/>
      <w:bookmarkStart w:id="4" w:name="_Toc446945002"/>
      <w:bookmarkStart w:id="5" w:name="_Toc446945138"/>
      <w:r>
        <w:rPr>
          <w:rFonts w:hint="eastAsia" w:ascii="宋体" w:hAnsi="宋体"/>
        </w:rPr>
        <w:t>准备工作</w:t>
      </w:r>
      <w:bookmarkEnd w:id="0"/>
      <w:bookmarkEnd w:id="1"/>
    </w:p>
    <w:p w14:paraId="3F88B8F7">
      <w:pPr>
        <w:pStyle w:val="4"/>
        <w:numPr>
          <w:ilvl w:val="1"/>
          <w:numId w:val="1"/>
        </w:numPr>
        <w:tabs>
          <w:tab w:val="left" w:pos="420"/>
        </w:tabs>
      </w:pPr>
      <w:bookmarkStart w:id="6" w:name="_Toc410488263"/>
      <w:bookmarkStart w:id="7" w:name="_Toc21883"/>
      <w:r>
        <w:rPr>
          <w:rFonts w:hint="eastAsia"/>
        </w:rPr>
        <w:t>系统软硬件要求</w:t>
      </w:r>
      <w:bookmarkEnd w:id="6"/>
      <w:bookmarkEnd w:id="7"/>
    </w:p>
    <w:p w14:paraId="6B6A0004">
      <w:pPr>
        <w:pStyle w:val="3"/>
        <w:ind w:firstLine="360"/>
      </w:pPr>
      <w:r>
        <w:rPr>
          <w:rFonts w:hint="eastAsia"/>
        </w:rPr>
        <w:t>建议使用</w:t>
      </w:r>
      <w:r>
        <w:t>Win7</w:t>
      </w:r>
      <w:r>
        <w:rPr>
          <w:rFonts w:hint="eastAsia"/>
        </w:rPr>
        <w:t>及以上操作系统</w:t>
      </w:r>
    </w:p>
    <w:p w14:paraId="6BF8A41B">
      <w:pPr>
        <w:pStyle w:val="3"/>
        <w:ind w:firstLine="360"/>
      </w:pPr>
      <w:r>
        <w:rPr>
          <w:rFonts w:hint="eastAsia"/>
        </w:rPr>
        <w:t>浏览器务必使用</w:t>
      </w:r>
      <w:r>
        <w:t>IE</w:t>
      </w:r>
      <w:r>
        <w:rPr>
          <w:rFonts w:hint="eastAsia"/>
        </w:rPr>
        <w:t>浏览器，且</w:t>
      </w:r>
      <w:r>
        <w:t>IE</w:t>
      </w:r>
      <w:r>
        <w:rPr>
          <w:rFonts w:hint="eastAsia"/>
        </w:rPr>
        <w:t>版本在</w:t>
      </w:r>
      <w:r>
        <w:t>IE9</w:t>
      </w:r>
      <w:r>
        <w:rPr>
          <w:rFonts w:hint="eastAsia"/>
        </w:rPr>
        <w:t>及以上。</w:t>
      </w:r>
    </w:p>
    <w:p w14:paraId="433A706E">
      <w:pPr>
        <w:pStyle w:val="4"/>
        <w:numPr>
          <w:ilvl w:val="1"/>
          <w:numId w:val="1"/>
        </w:numPr>
        <w:tabs>
          <w:tab w:val="left" w:pos="420"/>
        </w:tabs>
      </w:pPr>
      <w:bookmarkStart w:id="8" w:name="_Toc410488264"/>
      <w:bookmarkStart w:id="9" w:name="_Toc26939"/>
      <w:r>
        <w:t>IE</w:t>
      </w:r>
      <w:r>
        <w:rPr>
          <w:rFonts w:hint="eastAsia"/>
        </w:rPr>
        <w:t>设置</w:t>
      </w:r>
      <w:bookmarkEnd w:id="8"/>
      <w:bookmarkEnd w:id="9"/>
    </w:p>
    <w:p w14:paraId="6F63176F">
      <w:pPr>
        <w:pStyle w:val="3"/>
        <w:ind w:firstLine="360"/>
        <w:jc w:val="left"/>
        <w:rPr>
          <w:rFonts w:hint="eastAsia"/>
        </w:rPr>
      </w:pPr>
      <w:r>
        <w:rPr>
          <w:rFonts w:hint="eastAsia"/>
          <w:lang w:val="en-US" w:eastAsia="zh-CN"/>
        </w:rPr>
        <w:t>公共资源交易平台</w:t>
      </w:r>
      <w:r>
        <w:rPr>
          <w:rFonts w:hint="eastAsia"/>
        </w:rPr>
        <w:t>访问地址</w:t>
      </w:r>
      <w:r>
        <w:t>(</w:t>
      </w:r>
      <w:r>
        <w:rPr>
          <w:rFonts w:hint="eastAsia"/>
          <w:lang w:val="en-US" w:eastAsia="zh-CN"/>
        </w:rPr>
        <w:t>招标人、招标代理、</w:t>
      </w:r>
      <w:r>
        <w:rPr>
          <w:rFonts w:hint="eastAsia"/>
        </w:rPr>
        <w:t>投标人、</w:t>
      </w:r>
      <w:r>
        <w:rPr>
          <w:rFonts w:hint="eastAsia"/>
          <w:lang w:val="en-US" w:eastAsia="zh-CN"/>
        </w:rPr>
        <w:t>供应商</w:t>
      </w:r>
      <w:r>
        <w:t>)</w:t>
      </w:r>
      <w:r>
        <w:rPr>
          <w:rFonts w:hint="eastAsia"/>
        </w:rPr>
        <w:t>：</w:t>
      </w:r>
    </w:p>
    <w:p w14:paraId="11CC7685">
      <w:pPr>
        <w:pStyle w:val="3"/>
        <w:ind w:firstLine="360"/>
        <w:jc w:val="left"/>
      </w:pPr>
      <w:r>
        <w:rPr>
          <w:rFonts w:hint="eastAsia"/>
        </w:rPr>
        <w:t xml:space="preserve">http://www.ggzy.xjtc.gov.cn/TPBidder/          </w:t>
      </w:r>
      <w:r>
        <w:t xml:space="preserve">    </w:t>
      </w:r>
    </w:p>
    <w:p w14:paraId="64D0934D">
      <w:pPr>
        <w:pStyle w:val="3"/>
        <w:ind w:firstLine="360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添加兼容性视图、可信任站点</w:t>
      </w:r>
    </w:p>
    <w:p w14:paraId="737140BD">
      <w:pPr>
        <w:pStyle w:val="3"/>
        <w:ind w:firstLine="36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进入公共资源交易平台登录地址，按下列图示操作</w:t>
      </w:r>
    </w:p>
    <w:p w14:paraId="5233EC48">
      <w:pPr>
        <w:pStyle w:val="3"/>
        <w:ind w:left="0" w:leftChars="0" w:firstLine="0" w:firstLineChars="0"/>
      </w:pPr>
      <w:r>
        <w:drawing>
          <wp:inline distT="0" distB="0" distL="114300" distR="114300">
            <wp:extent cx="5266055" cy="2776220"/>
            <wp:effectExtent l="0" t="0" r="10795" b="508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F17DF">
      <w:pPr>
        <w:pStyle w:val="3"/>
        <w:ind w:left="0" w:leftChars="0" w:firstLine="420" w:firstLineChars="0"/>
      </w:pPr>
      <w:r>
        <w:drawing>
          <wp:inline distT="0" distB="0" distL="114300" distR="114300">
            <wp:extent cx="3543300" cy="4358640"/>
            <wp:effectExtent l="0" t="0" r="7620" b="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4D9E4">
      <w:pPr>
        <w:pStyle w:val="3"/>
        <w:ind w:left="0" w:leftChars="0" w:firstLine="420" w:firstLineChars="0"/>
      </w:pPr>
      <w:r>
        <w:drawing>
          <wp:inline distT="0" distB="0" distL="114300" distR="114300">
            <wp:extent cx="5274310" cy="2783840"/>
            <wp:effectExtent l="0" t="0" r="2540" b="1651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C44C8">
      <w:pPr>
        <w:pStyle w:val="3"/>
        <w:ind w:left="0" w:leftChars="0" w:firstLine="0" w:firstLineChars="0"/>
      </w:pPr>
      <w:r>
        <w:drawing>
          <wp:inline distT="0" distB="0" distL="114300" distR="114300">
            <wp:extent cx="5271770" cy="3536315"/>
            <wp:effectExtent l="0" t="0" r="1270" b="1460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9472E">
      <w:pPr>
        <w:pStyle w:val="3"/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（2）activeX控件</w:t>
      </w:r>
    </w:p>
    <w:p w14:paraId="3CB7795B">
      <w:pPr>
        <w:pStyle w:val="3"/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按下列图示操作</w:t>
      </w:r>
    </w:p>
    <w:p w14:paraId="5A7EC90B">
      <w:pPr>
        <w:pStyle w:val="3"/>
        <w:numPr>
          <w:ilvl w:val="0"/>
          <w:numId w:val="0"/>
        </w:numPr>
        <w:ind w:firstLine="420" w:firstLine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default"/>
          <w:b/>
          <w:bCs/>
          <w:highlight w:val="yellow"/>
          <w:lang w:val="en-US" w:eastAsia="zh-CN"/>
        </w:rPr>
        <w:t>所有的 actvieX 控件需选择“启用”</w:t>
      </w:r>
    </w:p>
    <w:p w14:paraId="3284F5CE"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3472815"/>
            <wp:effectExtent l="0" t="0" r="5080" b="190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524AF">
      <w:pPr>
        <w:pStyle w:val="3"/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</w:p>
    <w:p w14:paraId="0F851110">
      <w:pPr>
        <w:pStyle w:val="4"/>
        <w:numPr>
          <w:ilvl w:val="1"/>
          <w:numId w:val="1"/>
        </w:numPr>
        <w:tabs>
          <w:tab w:val="left" w:pos="420"/>
        </w:tabs>
      </w:pPr>
      <w:bookmarkStart w:id="10" w:name="_Toc6598"/>
      <w:r>
        <w:t>驱动下载</w:t>
      </w:r>
      <w:bookmarkEnd w:id="10"/>
    </w:p>
    <w:p w14:paraId="17284A7B">
      <w:pPr>
        <w:pStyle w:val="3"/>
        <w:ind w:firstLine="360"/>
      </w:pPr>
      <w:r>
        <w:t>访问标桥</w:t>
      </w:r>
      <w:r>
        <w:fldChar w:fldCharType="begin"/>
      </w:r>
      <w:r>
        <w:instrText xml:space="preserve"> HYPERLINK "https://download.bqpoint.com" </w:instrText>
      </w:r>
      <w:r>
        <w:fldChar w:fldCharType="separate"/>
      </w:r>
      <w:r>
        <w:rPr>
          <w:rStyle w:val="18"/>
        </w:rPr>
        <w:t>https://download.bqpoint.com</w:t>
      </w:r>
      <w:r>
        <w:rPr>
          <w:rStyle w:val="18"/>
        </w:rPr>
        <w:fldChar w:fldCharType="end"/>
      </w:r>
    </w:p>
    <w:p w14:paraId="66E2B1EF">
      <w:pPr>
        <w:pStyle w:val="3"/>
        <w:ind w:left="0" w:leftChars="0" w:firstLine="0" w:firstLineChars="0"/>
      </w:pPr>
      <w:r>
        <w:drawing>
          <wp:inline distT="0" distB="0" distL="114300" distR="114300">
            <wp:extent cx="5266055" cy="2580005"/>
            <wp:effectExtent l="0" t="0" r="10795" b="10795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CD075">
      <w:pPr>
        <w:pStyle w:val="3"/>
        <w:ind w:firstLine="360"/>
      </w:pPr>
      <w:r>
        <w:t>或者在</w:t>
      </w:r>
      <w:r>
        <w:rPr>
          <w:rFonts w:hint="eastAsia"/>
          <w:lang w:val="en-US" w:eastAsia="zh-CN"/>
        </w:rPr>
        <w:t>交易平台</w:t>
      </w:r>
      <w:r>
        <w:t>登录页面点击：“驱动下载”</w:t>
      </w:r>
    </w:p>
    <w:p w14:paraId="22E97B0F">
      <w:pPr>
        <w:pStyle w:val="3"/>
        <w:ind w:left="0" w:leftChars="0" w:firstLine="0" w:firstLineChars="0"/>
      </w:pPr>
      <w:r>
        <w:drawing>
          <wp:inline distT="0" distB="0" distL="114300" distR="114300">
            <wp:extent cx="5266055" cy="2423160"/>
            <wp:effectExtent l="0" t="0" r="10795" b="15240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8A9E5">
      <w:pPr>
        <w:pStyle w:val="3"/>
        <w:ind w:firstLine="360"/>
      </w:pPr>
      <w:r>
        <w:t>然后点击下载</w:t>
      </w:r>
    </w:p>
    <w:p w14:paraId="16B2EDE0">
      <w:pPr>
        <w:pStyle w:val="3"/>
        <w:ind w:left="0" w:leftChars="0" w:firstLine="0" w:firstLineChars="0"/>
      </w:pPr>
      <w:r>
        <w:drawing>
          <wp:inline distT="0" distB="0" distL="114300" distR="114300">
            <wp:extent cx="5270500" cy="2525395"/>
            <wp:effectExtent l="0" t="0" r="6350" b="825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D8EF5">
      <w:pPr>
        <w:pStyle w:val="3"/>
        <w:ind w:firstLine="360"/>
      </w:pPr>
      <w:r>
        <w:tab/>
      </w:r>
      <w:r>
        <w:t>下载完成后点击安装进行默认安装即可（注意</w:t>
      </w:r>
      <w:r>
        <w:rPr>
          <w:rFonts w:hint="eastAsia"/>
        </w:rPr>
        <w:t>360安全卫士等杀毒软件在安装过程中可能会阻拦导致安装不成功，建议安装时暂时关闭，安装完成后继续开启</w:t>
      </w:r>
      <w:r>
        <w:t>）</w:t>
      </w:r>
    </w:p>
    <w:p w14:paraId="6665AF9C">
      <w:pPr>
        <w:pStyle w:val="2"/>
        <w:rPr>
          <w:rFonts w:ascii="宋体" w:hAnsi="宋体"/>
        </w:rPr>
      </w:pPr>
      <w:bookmarkStart w:id="11" w:name="_Toc8496"/>
      <w:r>
        <w:rPr>
          <w:rFonts w:ascii="宋体" w:hAnsi="宋体"/>
        </w:rPr>
        <w:t>入库操作</w:t>
      </w:r>
      <w:bookmarkEnd w:id="11"/>
    </w:p>
    <w:p w14:paraId="7C21F552">
      <w:pPr>
        <w:pStyle w:val="4"/>
        <w:numPr>
          <w:ilvl w:val="0"/>
          <w:numId w:val="2"/>
        </w:numPr>
      </w:pPr>
      <w:bookmarkStart w:id="12" w:name="_Toc27266"/>
      <w:r>
        <w:t>账号注册</w:t>
      </w:r>
      <w:bookmarkEnd w:id="12"/>
    </w:p>
    <w:p w14:paraId="17BD6FC8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360"/>
        <w:textAlignment w:val="auto"/>
      </w:pPr>
      <w:r>
        <w:t>流程：访问</w:t>
      </w:r>
      <w:r>
        <w:rPr>
          <w:rFonts w:hint="eastAsia"/>
          <w:lang w:val="en-US" w:eastAsia="zh-CN"/>
        </w:rPr>
        <w:t>塔城地区公共资源交易平台（</w:t>
      </w:r>
      <w:r>
        <w:rPr>
          <w:rFonts w:hint="eastAsia"/>
        </w:rPr>
        <w:t>http://www.ggzy.xjtc.gov.cn/TPBidder/</w:t>
      </w:r>
      <w:r>
        <w:rPr>
          <w:rFonts w:hint="eastAsia"/>
          <w:lang w:val="en-US" w:eastAsia="zh-CN"/>
        </w:rPr>
        <w:t>）</w:t>
      </w:r>
      <w:r>
        <w:t>，点击</w:t>
      </w:r>
      <w:r>
        <w:rPr>
          <w:rFonts w:hint="eastAsia"/>
          <w:lang w:eastAsia="zh-CN"/>
        </w:rPr>
        <w:t>“</w:t>
      </w:r>
      <w:r>
        <w:t>免费注册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或“自助激活”</w:t>
      </w:r>
      <w:r>
        <w:t>按钮，填写相关信息完成注册操作。</w:t>
      </w:r>
    </w:p>
    <w:p w14:paraId="6969A0BB">
      <w:pPr>
        <w:pStyle w:val="3"/>
        <w:ind w:firstLine="360"/>
        <w:rPr>
          <w:rFonts w:hint="eastAsia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免费注册是注册登录账号，后期办理CA锁后再和账号绑定，这样既可以通过账号登录也可以通过CA登录系统</w:t>
      </w:r>
    </w:p>
    <w:p w14:paraId="1C9C6711">
      <w:pPr>
        <w:pStyle w:val="3"/>
        <w:ind w:firstLine="360"/>
        <w:rPr>
          <w:rFonts w:hint="default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自助激活是直接激活CA锁，只能通过CA登录系统</w:t>
      </w:r>
    </w:p>
    <w:p w14:paraId="063A4593">
      <w:pPr>
        <w:pStyle w:val="5"/>
      </w:pPr>
      <w:bookmarkStart w:id="13" w:name="_Toc12238"/>
      <w:r>
        <w:rPr>
          <w:rFonts w:hint="eastAsia"/>
        </w:rPr>
        <w:t>1</w:t>
      </w:r>
      <w:r>
        <w:t>.1免费注册</w:t>
      </w:r>
      <w:bookmarkEnd w:id="13"/>
    </w:p>
    <w:p w14:paraId="3D8FD470">
      <w:pPr>
        <w:rPr>
          <w:rFonts w:hint="default" w:eastAsia="宋体"/>
          <w:lang w:val="en-US" w:eastAsia="zh-CN"/>
        </w:rPr>
      </w:pPr>
      <w:r>
        <w:tab/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已有CA用户</w:t>
      </w:r>
    </w:p>
    <w:p w14:paraId="012875F9">
      <w:pPr>
        <w:ind w:firstLine="420" w:firstLineChars="0"/>
        <w:rPr>
          <w:rFonts w:hint="default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塔城地区公共资源交易平台兼容了建设工程信息网的CA锁，已有CA用户点击“自助激活”领取招标文件</w:t>
      </w: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。</w:t>
      </w:r>
    </w:p>
    <w:p w14:paraId="47897201">
      <w:r>
        <w:drawing>
          <wp:inline distT="0" distB="0" distL="114300" distR="114300">
            <wp:extent cx="5066030" cy="2885440"/>
            <wp:effectExtent l="0" t="0" r="1270" b="1016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603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D6A73">
      <w:pPr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阅读相关协议，确认无误点击同意</w:t>
      </w:r>
    </w:p>
    <w:p w14:paraId="63B32845">
      <w:r>
        <w:drawing>
          <wp:inline distT="0" distB="0" distL="114300" distR="114300">
            <wp:extent cx="4704715" cy="2175510"/>
            <wp:effectExtent l="0" t="0" r="635" b="15240"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4715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D1214">
      <w:pPr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点击读取证书，填写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相关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信息，确认无误后点击立即注册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，即可注册成功</w:t>
      </w:r>
    </w:p>
    <w:p w14:paraId="07B57CD1">
      <w:pPr>
        <w:ind w:firstLine="420" w:firstLineChars="0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注意：交易甲方、</w:t>
      </w: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自然人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、</w:t>
      </w: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交易乙方、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代理</w:t>
      </w: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机构等用户类型务必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选择正确。</w:t>
      </w:r>
    </w:p>
    <w:p w14:paraId="7733EA33">
      <w:pPr>
        <w:ind w:firstLine="420" w:firstLineChars="0"/>
        <w:rPr>
          <w:rFonts w:hint="default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交易甲方：</w:t>
      </w: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yellow"/>
          <w:lang w:val="en-US" w:eastAsia="zh-CN" w:bidi="ar-SA"/>
        </w:rPr>
        <w:t>招标人</w:t>
      </w:r>
    </w:p>
    <w:p w14:paraId="4FB70602">
      <w:pPr>
        <w:ind w:firstLine="420" w:firstLineChars="0"/>
        <w:rPr>
          <w:rFonts w:hint="default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自然人：</w:t>
      </w: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yellow"/>
          <w:lang w:val="en-US" w:eastAsia="zh-CN" w:bidi="ar-SA"/>
        </w:rPr>
        <w:t>个人身份参与产权交易竞买的市场交易主体</w:t>
      </w:r>
    </w:p>
    <w:p w14:paraId="4F28ACFC">
      <w:pPr>
        <w:ind w:firstLine="420" w:firstLineChars="0"/>
        <w:rPr>
          <w:rFonts w:hint="default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交易乙方：</w:t>
      </w: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yellow"/>
          <w:lang w:val="en-US" w:eastAsia="zh-CN" w:bidi="ar-SA"/>
        </w:rPr>
        <w:t>投标单位、政府采购供应商、参与产权矿权土地竞买的企业</w:t>
      </w:r>
    </w:p>
    <w:p w14:paraId="142464DF">
      <w:pPr>
        <w:ind w:firstLine="420" w:firstLineChars="0"/>
        <w:rPr>
          <w:rFonts w:hint="default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代理机构：</w:t>
      </w:r>
      <w:r>
        <w:rPr>
          <w:rFonts w:hint="eastAsia" w:cs="Times New Roman"/>
          <w:b/>
          <w:bCs/>
          <w:color w:val="FF0000"/>
          <w:kern w:val="2"/>
          <w:sz w:val="28"/>
          <w:szCs w:val="28"/>
          <w:highlight w:val="yellow"/>
          <w:lang w:val="en-US" w:eastAsia="zh-CN" w:bidi="ar-SA"/>
        </w:rPr>
        <w:t>招标代理机构</w:t>
      </w:r>
    </w:p>
    <w:p w14:paraId="13C9E69B">
      <w:pPr>
        <w:ind w:firstLine="420" w:firstLineChars="0"/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参与房建市政、交通、水利等工程建设项目的投标单位请勿勾选自然人</w:t>
      </w:r>
    </w:p>
    <w:p w14:paraId="19CB9BFF">
      <w:pPr>
        <w:ind w:firstLine="420" w:firstLineChars="0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参与房建市政、交通、水利等工程建设项目的投标单位请勿勾选自然人</w:t>
      </w:r>
    </w:p>
    <w:p w14:paraId="30DFE366">
      <w:pPr>
        <w:ind w:firstLine="420" w:firstLineChars="0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参与房建市政、交通、水利等工程建设项目的投标单位请勿勾选自然人</w:t>
      </w:r>
    </w:p>
    <w:p w14:paraId="029CD726">
      <w:pPr>
        <w:ind w:firstLine="420" w:firstLineChars="0"/>
        <w:rPr>
          <w:rFonts w:hint="default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</w:p>
    <w:p w14:paraId="7718B01C">
      <w:r>
        <w:drawing>
          <wp:inline distT="0" distB="0" distL="114300" distR="114300">
            <wp:extent cx="4867910" cy="2768600"/>
            <wp:effectExtent l="0" t="0" r="8890" b="12700"/>
            <wp:docPr id="3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791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94278">
      <w:r>
        <w:tab/>
      </w:r>
    </w:p>
    <w:p w14:paraId="173443C9">
      <w:pPr>
        <w:rPr>
          <w:rFonts w:hint="default"/>
          <w:lang w:val="en-US" w:eastAsia="zh-CN"/>
        </w:rPr>
      </w:pPr>
      <w:r>
        <w:tab/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暂未办理CA用户，点击免费注册</w:t>
      </w:r>
    </w:p>
    <w:p w14:paraId="7CCC5C55">
      <w:r>
        <w:drawing>
          <wp:inline distT="0" distB="0" distL="114300" distR="114300">
            <wp:extent cx="5260340" cy="2418715"/>
            <wp:effectExtent l="0" t="0" r="16510" b="635"/>
            <wp:docPr id="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84BF0">
      <w:pPr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阅读相关协议，确认无误点击同意</w:t>
      </w:r>
    </w:p>
    <w:p w14:paraId="2C76E96E">
      <w:r>
        <w:drawing>
          <wp:inline distT="0" distB="0" distL="114300" distR="114300">
            <wp:extent cx="4704715" cy="2175510"/>
            <wp:effectExtent l="0" t="0" r="635" b="15240"/>
            <wp:docPr id="4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4715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EC5CE">
      <w:pPr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填写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相关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信息，确认无误后点击立即注册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，即可注册成功</w:t>
      </w:r>
    </w:p>
    <w:p w14:paraId="7D9C649C">
      <w:pP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注意：交易甲方、</w:t>
      </w: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自然人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、</w:t>
      </w: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交易乙方、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代理</w:t>
      </w: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机构等用户类型务必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选择正确。</w:t>
      </w:r>
    </w:p>
    <w:p w14:paraId="50110F48">
      <w:pPr>
        <w:ind w:firstLine="420" w:firstLineChars="0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个人身份参与竞买只勾选自然人</w:t>
      </w:r>
    </w:p>
    <w:p w14:paraId="420320C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799715"/>
            <wp:effectExtent l="0" t="0" r="6350" b="635"/>
            <wp:docPr id="4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C1F76">
      <w:pPr>
        <w:pStyle w:val="5"/>
      </w:pPr>
      <w:bookmarkStart w:id="14" w:name="_Toc31826"/>
      <w:r>
        <w:rPr>
          <w:rFonts w:hint="eastAsia"/>
        </w:rPr>
        <w:t>1.</w:t>
      </w:r>
      <w:r>
        <w:t>2完善信息</w:t>
      </w:r>
      <w:bookmarkEnd w:id="14"/>
    </w:p>
    <w:p w14:paraId="5F6BDAF1">
      <w:pPr>
        <w:pStyle w:val="6"/>
      </w:pPr>
      <w:bookmarkStart w:id="15" w:name="_Toc251"/>
      <w:r>
        <w:rPr>
          <w:rFonts w:hint="eastAsia"/>
        </w:rPr>
        <w:t>1.</w:t>
      </w:r>
      <w:r>
        <w:t>2.1基本信息</w:t>
      </w:r>
      <w:bookmarkEnd w:id="15"/>
    </w:p>
    <w:p w14:paraId="7F1AF509">
      <w:pPr>
        <w:rPr>
          <w:rFonts w:hint="default" w:eastAsia="宋体"/>
          <w:lang w:val="en-US" w:eastAsia="zh-CN"/>
        </w:rPr>
      </w:pPr>
      <w:r>
        <w:tab/>
      </w:r>
      <w:r>
        <w:rPr>
          <w:rFonts w:hint="eastAsia"/>
          <w:lang w:val="en-US" w:eastAsia="zh-CN"/>
        </w:rPr>
        <w:t>注册成功登录进入系统后提示需完善诚信库信息（此处以投标单位界面演示，招标人及招标代理界面除同步信息外操作基本相同），点击确认进行信息完善。</w:t>
      </w:r>
    </w:p>
    <w:p w14:paraId="2F5EC119">
      <w:r>
        <w:drawing>
          <wp:inline distT="0" distB="0" distL="114300" distR="114300">
            <wp:extent cx="5260340" cy="2427605"/>
            <wp:effectExtent l="0" t="0" r="12700" b="10795"/>
            <wp:docPr id="4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189F6">
      <w:pPr>
        <w:pStyle w:val="6"/>
        <w:bidi w:val="0"/>
        <w:rPr>
          <w:rFonts w:hint="eastAsia"/>
          <w:lang w:val="en-US" w:eastAsia="zh-CN"/>
        </w:rPr>
      </w:pPr>
      <w:bookmarkStart w:id="16" w:name="_Toc13841"/>
      <w:r>
        <w:rPr>
          <w:rFonts w:hint="eastAsia"/>
          <w:lang w:val="en-US" w:eastAsia="zh-CN"/>
        </w:rPr>
        <w:t>1.2.2绑定CA</w:t>
      </w:r>
      <w:bookmarkEnd w:id="16"/>
    </w:p>
    <w:p w14:paraId="44BAF1FE">
      <w:pPr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点击单位信息跳转到基本信息页面</w:t>
      </w:r>
    </w:p>
    <w:p w14:paraId="0DFFF926">
      <w:r>
        <w:drawing>
          <wp:inline distT="0" distB="0" distL="114300" distR="114300">
            <wp:extent cx="5266055" cy="2241550"/>
            <wp:effectExtent l="0" t="0" r="10795" b="63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A99E3">
      <w:pPr>
        <w:ind w:firstLine="420" w:firstLineChars="0"/>
        <w:rPr>
          <w:rFonts w:hint="default"/>
          <w:sz w:val="24"/>
          <w:szCs w:val="24"/>
          <w:lang w:val="en-US" w:eastAsia="zh-CN"/>
        </w:rPr>
      </w:pPr>
    </w:p>
    <w:p w14:paraId="1D178462">
      <w:pPr>
        <w:ind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点击“CA自助绑定”，按照实际情况填写页面上的相关信息后，先点击“读取证书”，再点击“激活”即可绑定CA</w:t>
      </w:r>
    </w:p>
    <w:p w14:paraId="3D2F619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2618105"/>
            <wp:effectExtent l="0" t="0" r="0" b="317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5A214">
      <w:pPr>
        <w:pStyle w:val="4"/>
        <w:rPr>
          <w:rFonts w:hint="default"/>
          <w:lang w:val="en-US" w:eastAsia="zh-CN"/>
        </w:rPr>
      </w:pPr>
      <w:bookmarkStart w:id="17" w:name="_Toc2185"/>
      <w:r>
        <w:t xml:space="preserve">2  </w:t>
      </w:r>
      <w:r>
        <w:rPr>
          <w:rFonts w:hint="eastAsia"/>
        </w:rPr>
        <w:t>房建市政类单位入库：</w:t>
      </w:r>
      <w:bookmarkEnd w:id="17"/>
    </w:p>
    <w:p w14:paraId="2383B878">
      <w:pPr>
        <w:ind w:firstLine="420" w:firstLine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系统已经与自治区住建厅四库一平台完成对接。</w:t>
      </w:r>
    </w:p>
    <w:p w14:paraId="00D18A83">
      <w:pPr>
        <w:ind w:firstLine="420" w:firstLine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参与房建、市政类项目的</w:t>
      </w:r>
      <w:r>
        <w:rPr>
          <w:rFonts w:hint="eastAsia"/>
          <w:b/>
          <w:bCs/>
          <w:highlight w:val="yellow"/>
        </w:rPr>
        <w:t>投标单位</w:t>
      </w:r>
      <w:r>
        <w:rPr>
          <w:rFonts w:hint="eastAsia"/>
          <w:b/>
          <w:bCs/>
          <w:highlight w:val="yellow"/>
          <w:lang w:val="en-US" w:eastAsia="zh-CN"/>
        </w:rPr>
        <w:t>直接</w:t>
      </w:r>
      <w:r>
        <w:rPr>
          <w:rFonts w:hint="eastAsia"/>
          <w:b/>
          <w:bCs/>
          <w:highlight w:val="yellow"/>
        </w:rPr>
        <w:t>点击</w:t>
      </w:r>
      <w:r>
        <w:rPr>
          <w:rFonts w:hint="eastAsia"/>
          <w:b/>
          <w:bCs/>
          <w:highlight w:val="yellow"/>
          <w:lang w:eastAsia="zh-CN"/>
        </w:rPr>
        <w:t>“</w:t>
      </w:r>
      <w:r>
        <w:rPr>
          <w:rFonts w:hint="eastAsia"/>
          <w:b/>
          <w:bCs/>
          <w:highlight w:val="yellow"/>
          <w:lang w:val="en-US" w:eastAsia="zh-CN"/>
        </w:rPr>
        <w:t>同步住建厅四库一平台信息</w:t>
      </w:r>
      <w:r>
        <w:rPr>
          <w:rFonts w:hint="eastAsia"/>
          <w:b/>
          <w:bCs/>
          <w:highlight w:val="yellow"/>
          <w:lang w:eastAsia="zh-CN"/>
        </w:rPr>
        <w:t>”</w:t>
      </w:r>
      <w:r>
        <w:rPr>
          <w:rFonts w:hint="eastAsia"/>
          <w:b/>
          <w:bCs/>
          <w:highlight w:val="yellow"/>
          <w:lang w:val="en-US" w:eastAsia="zh-CN"/>
        </w:rPr>
        <w:t>进行同步（电子件无法同步）。</w:t>
      </w:r>
      <w:r>
        <w:rPr>
          <w:rFonts w:hint="eastAsia"/>
          <w:b/>
          <w:bCs/>
          <w:sz w:val="28"/>
          <w:szCs w:val="28"/>
          <w:highlight w:val="red"/>
          <w:lang w:val="en-US" w:eastAsia="zh-CN"/>
        </w:rPr>
        <w:t>无需修改基本信息、职业人员、经营资质等提交！</w:t>
      </w:r>
    </w:p>
    <w:p w14:paraId="43686D5D">
      <w:pPr>
        <w:ind w:firstLine="420" w:firstLineChars="0"/>
        <w:rPr>
          <w:rFonts w:hint="default"/>
          <w:b/>
          <w:bCs/>
          <w:highlight w:val="yellow"/>
          <w:lang w:val="en-US"/>
        </w:rPr>
      </w:pPr>
      <w:r>
        <w:rPr>
          <w:rFonts w:hint="eastAsia"/>
          <w:b/>
          <w:bCs/>
          <w:highlight w:val="yellow"/>
          <w:lang w:val="en-US" w:eastAsia="zh-CN"/>
        </w:rPr>
        <w:t>非建设云同步人员无法领取房建市政类项目的招标文件。</w:t>
      </w:r>
    </w:p>
    <w:p w14:paraId="3F2A8E4A">
      <w:r>
        <w:drawing>
          <wp:inline distT="0" distB="0" distL="114300" distR="114300">
            <wp:extent cx="5274310" cy="1965960"/>
            <wp:effectExtent l="0" t="0" r="1397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rcRect b="1080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0E093">
      <w:pPr>
        <w:pStyle w:val="4"/>
        <w:rPr>
          <w:rFonts w:hint="eastAsia" w:eastAsia="宋体"/>
          <w:lang w:val="en-US" w:eastAsia="zh-CN"/>
        </w:rPr>
      </w:pPr>
      <w:bookmarkStart w:id="18" w:name="_Toc19236"/>
      <w:r>
        <w:t xml:space="preserve">3  </w:t>
      </w:r>
      <w:r>
        <w:rPr>
          <w:rFonts w:hint="eastAsia"/>
          <w:lang w:val="en-US" w:eastAsia="zh-CN"/>
        </w:rPr>
        <w:t>水利、交通等工程类投标单位、</w:t>
      </w:r>
      <w:r>
        <w:rPr>
          <w:rFonts w:hint="eastAsia"/>
        </w:rPr>
        <w:t>招标代理、供应商</w:t>
      </w:r>
      <w:r>
        <w:rPr>
          <w:rFonts w:hint="eastAsia"/>
          <w:lang w:val="en-US" w:eastAsia="zh-CN"/>
        </w:rPr>
        <w:t>入库</w:t>
      </w:r>
      <w:bookmarkEnd w:id="18"/>
    </w:p>
    <w:p w14:paraId="2DEB7282">
      <w:pPr>
        <w:ind w:firstLine="420" w:firstLineChars="0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4"/>
          <w:szCs w:val="24"/>
          <w:highlight w:val="yellow"/>
          <w:lang w:val="en-US" w:eastAsia="zh-CN" w:bidi="ar-SA"/>
        </w:rPr>
        <w:t>请按照实际情况录入信息入库</w:t>
      </w:r>
    </w:p>
    <w:p w14:paraId="5B40BA3B">
      <w:pPr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点击修改信息</w:t>
      </w:r>
    </w:p>
    <w:p w14:paraId="136519E8">
      <w:pPr>
        <w:numPr>
          <w:ilvl w:val="0"/>
          <w:numId w:val="0"/>
        </w:numPr>
        <w:rPr>
          <w:rFonts w:hint="eastAsia"/>
          <w:b/>
          <w:bCs/>
          <w:color w:val="FF0000"/>
          <w:lang w:val="en-US" w:eastAsia="zh-CN"/>
        </w:rPr>
      </w:pPr>
      <w:r>
        <w:drawing>
          <wp:inline distT="0" distB="0" distL="114300" distR="114300">
            <wp:extent cx="5267960" cy="2148205"/>
            <wp:effectExtent l="0" t="0" r="5080" b="635"/>
            <wp:docPr id="5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4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CAA9E">
      <w:pPr>
        <w:numPr>
          <w:ilvl w:val="0"/>
          <w:numId w:val="0"/>
        </w:numPr>
        <w:ind w:firstLine="420" w:firstLineChars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按照单位实际信息，填写页面内容，标“</w:t>
      </w:r>
      <w:r>
        <w:rPr>
          <w:rFonts w:hint="eastAsia"/>
          <w:b/>
          <w:bCs/>
          <w:color w:val="FF0000"/>
          <w:lang w:val="en-US" w:eastAsia="zh-CN"/>
        </w:rPr>
        <w:t>*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”为必填项</w:t>
      </w:r>
    </w:p>
    <w:p w14:paraId="6FF9475B">
      <w:pPr>
        <w:numPr>
          <w:ilvl w:val="0"/>
          <w:numId w:val="0"/>
        </w:numPr>
        <w:ind w:firstLine="420" w:firstLineChars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注意：基本信息中的开户账号（基本账号）必须是保证金缴纳账号，企业名称必须和开户账号（基本账号）的户名一致。</w:t>
      </w:r>
    </w:p>
    <w:p w14:paraId="49FEF243">
      <w:r>
        <w:drawing>
          <wp:inline distT="0" distB="0" distL="114300" distR="114300">
            <wp:extent cx="5274310" cy="2434590"/>
            <wp:effectExtent l="0" t="0" r="2540" b="3810"/>
            <wp:docPr id="5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/>
          <w:lang w:val="en-US" w:eastAsia="zh-CN"/>
        </w:rPr>
        <w:t>页面信息填写完成后，</w:t>
      </w:r>
      <w:r>
        <w:rPr>
          <w:rFonts w:hint="eastAsia"/>
          <w:b/>
          <w:bCs/>
          <w:lang w:val="en-US" w:eastAsia="zh-CN"/>
        </w:rPr>
        <w:t>先点击修改保存，再电子件管理</w:t>
      </w:r>
      <w:r>
        <w:t>。</w:t>
      </w:r>
    </w:p>
    <w:p w14:paraId="27CE84B6">
      <w:r>
        <w:drawing>
          <wp:inline distT="0" distB="0" distL="114300" distR="114300">
            <wp:extent cx="5266055" cy="2170430"/>
            <wp:effectExtent l="0" t="0" r="10795" b="1270"/>
            <wp:docPr id="5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6462">
      <w:pPr>
        <w:numPr>
          <w:ilvl w:val="0"/>
          <w:numId w:val="0"/>
        </w:numPr>
        <w:ind w:firstLine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点击上传，上传诚信承诺书及法人授权委托书，不上传则无法入库，模板可以到公共资源交易网→服务指南→下载中心中进行下载</w:t>
      </w:r>
    </w:p>
    <w:p w14:paraId="509B6CAA">
      <w:r>
        <w:drawing>
          <wp:inline distT="0" distB="0" distL="114300" distR="114300">
            <wp:extent cx="5260340" cy="1172210"/>
            <wp:effectExtent l="0" t="0" r="12700" b="1270"/>
            <wp:docPr id="5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4DE85">
      <w:r>
        <w:tab/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填写完页面信息并上传电子件后，点击下一步</w:t>
      </w:r>
      <w:r>
        <w:t>。</w:t>
      </w:r>
    </w:p>
    <w:p w14:paraId="0AF4DDDD">
      <w:r>
        <w:drawing>
          <wp:inline distT="0" distB="0" distL="114300" distR="114300">
            <wp:extent cx="5273040" cy="2090420"/>
            <wp:effectExtent l="0" t="0" r="0" b="12700"/>
            <wp:docPr id="5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4B207">
      <w:r>
        <w:tab/>
      </w:r>
      <w:r>
        <w:rPr>
          <w:rFonts w:hint="eastAsia"/>
          <w:lang w:val="en-US" w:eastAsia="zh-CN"/>
        </w:rPr>
        <w:t>再</w:t>
      </w:r>
      <w:r>
        <w:t>点击</w:t>
      </w:r>
      <w:r>
        <w:rPr>
          <w:rFonts w:hint="eastAsia"/>
          <w:lang w:val="en-US" w:eastAsia="zh-CN"/>
        </w:rPr>
        <w:t>提交信息</w:t>
      </w:r>
      <w:r>
        <w:t>。</w:t>
      </w:r>
    </w:p>
    <w:p w14:paraId="2F2E57EB">
      <w:r>
        <w:drawing>
          <wp:inline distT="0" distB="0" distL="114300" distR="114300">
            <wp:extent cx="5266055" cy="1898015"/>
            <wp:effectExtent l="0" t="0" r="6985" b="6985"/>
            <wp:docPr id="5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49D67">
      <w:r>
        <w:tab/>
      </w:r>
      <w:r>
        <w:rPr>
          <w:rFonts w:hint="eastAsia"/>
          <w:lang w:val="en-US" w:eastAsia="zh-CN"/>
        </w:rPr>
        <w:t>输入填写意见后，点击确认提交。</w:t>
      </w:r>
    </w:p>
    <w:p w14:paraId="3E6498BF">
      <w:pPr>
        <w:rPr>
          <w:rFonts w:ascii="仿宋" w:hAnsi="仿宋" w:eastAsia="仿宋"/>
          <w:color w:val="FF0000"/>
          <w:sz w:val="28"/>
        </w:rPr>
      </w:pPr>
      <w:r>
        <w:drawing>
          <wp:inline distT="0" distB="0" distL="114300" distR="114300">
            <wp:extent cx="5262880" cy="2416175"/>
            <wp:effectExtent l="0" t="0" r="13970" b="3175"/>
            <wp:docPr id="5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color w:val="FF0000"/>
          <w:sz w:val="28"/>
        </w:rPr>
        <w:t xml:space="preserve">   </w:t>
      </w:r>
    </w:p>
    <w:p w14:paraId="576FF68F">
      <w:pPr>
        <w:ind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基本信息验证通过，入库成功</w:t>
      </w:r>
    </w:p>
    <w:p w14:paraId="6E7B0115">
      <w:pPr>
        <w:rPr>
          <w:rFonts w:ascii="仿宋" w:hAnsi="仿宋" w:eastAsia="仿宋"/>
          <w:color w:val="FF0000"/>
          <w:sz w:val="28"/>
        </w:rPr>
      </w:pPr>
      <w:r>
        <w:drawing>
          <wp:inline distT="0" distB="0" distL="114300" distR="114300">
            <wp:extent cx="5267960" cy="2112645"/>
            <wp:effectExtent l="0" t="0" r="5080" b="5715"/>
            <wp:docPr id="6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B9267">
      <w:pPr>
        <w:pStyle w:val="6"/>
        <w:rPr>
          <w:rFonts w:hint="default" w:eastAsiaTheme="majorEastAsia"/>
          <w:lang w:val="en-US" w:eastAsia="zh-CN"/>
        </w:rPr>
      </w:pPr>
      <w:bookmarkStart w:id="19" w:name="_Toc26557"/>
      <w:r>
        <w:t>3.1</w:t>
      </w:r>
      <w:r>
        <w:rPr>
          <w:rFonts w:hint="eastAsia"/>
          <w:lang w:val="en-US" w:eastAsia="zh-CN"/>
        </w:rPr>
        <w:t>职业人员</w:t>
      </w:r>
      <w:bookmarkEnd w:id="19"/>
    </w:p>
    <w:p w14:paraId="003BAC7B">
      <w:r>
        <w:tab/>
      </w:r>
      <w:r>
        <w:t>点击</w:t>
      </w:r>
      <w:r>
        <w:rPr>
          <w:rFonts w:hint="eastAsia"/>
          <w:lang w:val="en-US" w:eastAsia="zh-CN"/>
        </w:rPr>
        <w:t>职业人员</w:t>
      </w:r>
      <w:r>
        <w:rPr/>
        <w:sym w:font="Wingdings" w:char="F0E0"/>
      </w:r>
      <w:r>
        <w:t>新增</w:t>
      </w:r>
      <w:r>
        <w:rPr>
          <w:rFonts w:hint="eastAsia"/>
          <w:lang w:val="en-US" w:eastAsia="zh-CN"/>
        </w:rPr>
        <w:t>职业人员</w:t>
      </w:r>
      <w:r>
        <w:t>，填写相关信息。</w:t>
      </w:r>
    </w:p>
    <w:p w14:paraId="51AF72C7">
      <w:r>
        <w:drawing>
          <wp:inline distT="0" distB="0" distL="114300" distR="114300">
            <wp:extent cx="5273040" cy="1711325"/>
            <wp:effectExtent l="0" t="0" r="3810" b="3175"/>
            <wp:docPr id="6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8C698">
      <w:pPr>
        <w:ind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信息确认无误后点击下一步</w:t>
      </w:r>
    </w:p>
    <w:p w14:paraId="46F0D0FC">
      <w:r>
        <w:tab/>
      </w:r>
      <w:r>
        <w:drawing>
          <wp:inline distT="0" distB="0" distL="114300" distR="114300">
            <wp:extent cx="5269865" cy="2025015"/>
            <wp:effectExtent l="0" t="0" r="3175" b="1905"/>
            <wp:docPr id="6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EEA05">
      <w:r>
        <w:tab/>
      </w:r>
      <w:r>
        <w:rPr>
          <w:rFonts w:hint="eastAsia"/>
          <w:lang w:val="en-US" w:eastAsia="zh-CN"/>
        </w:rPr>
        <w:t>点击提交信息</w:t>
      </w:r>
      <w:r>
        <w:t>。</w:t>
      </w:r>
    </w:p>
    <w:p w14:paraId="511684C3">
      <w:r>
        <w:drawing>
          <wp:inline distT="0" distB="0" distL="114300" distR="114300">
            <wp:extent cx="5269230" cy="1729105"/>
            <wp:effectExtent l="0" t="0" r="3810" b="8255"/>
            <wp:docPr id="6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1024">
      <w:pPr>
        <w:ind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输入个人意见后点击确认提交</w:t>
      </w:r>
    </w:p>
    <w:p w14:paraId="527127C3">
      <w:r>
        <w:drawing>
          <wp:inline distT="0" distB="0" distL="114300" distR="114300">
            <wp:extent cx="5274310" cy="2383155"/>
            <wp:effectExtent l="0" t="0" r="13970" b="9525"/>
            <wp:docPr id="6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3D04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职业人员入库成功</w:t>
      </w:r>
    </w:p>
    <w:p w14:paraId="1BD64572">
      <w:pPr>
        <w:ind w:firstLine="420" w:firstLineChars="0"/>
        <w:rPr>
          <w:rFonts w:hint="default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参与房建市政类项目的单位直接同步住建厅四库一平台，不要新增</w:t>
      </w:r>
    </w:p>
    <w:p w14:paraId="35DFEE41">
      <w:pPr>
        <w:ind w:firstLine="420" w:firstLineChars="0"/>
        <w:rPr>
          <w:rFonts w:hint="default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参与房建市政类项目的单位直接同步住建厅四库一平台，不要新增</w:t>
      </w:r>
    </w:p>
    <w:p w14:paraId="20C29FB9">
      <w:pPr>
        <w:ind w:firstLine="420" w:firstLineChars="0"/>
        <w:rPr>
          <w:rFonts w:hint="default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参与房建市政类项目的单位直接同步住建厅四库一平台，不要新增</w:t>
      </w:r>
    </w:p>
    <w:p w14:paraId="60CC4BC9">
      <w:r>
        <w:drawing>
          <wp:inline distT="0" distB="0" distL="114300" distR="114300">
            <wp:extent cx="5266055" cy="2091055"/>
            <wp:effectExtent l="0" t="0" r="6985" b="12065"/>
            <wp:docPr id="6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994B8">
      <w:pPr>
        <w:pStyle w:val="6"/>
        <w:rPr>
          <w:rFonts w:hint="default" w:eastAsiaTheme="majorEastAsia"/>
          <w:lang w:val="en-US" w:eastAsia="zh-CN"/>
        </w:rPr>
      </w:pPr>
      <w:bookmarkStart w:id="20" w:name="_Toc28004"/>
      <w:r>
        <w:t>3.2</w:t>
      </w:r>
      <w:r>
        <w:rPr>
          <w:rFonts w:hint="eastAsia"/>
          <w:lang w:val="en-US" w:eastAsia="zh-CN"/>
        </w:rPr>
        <w:t>经营资质</w:t>
      </w:r>
      <w:bookmarkEnd w:id="20"/>
    </w:p>
    <w:p w14:paraId="1EEFF77F">
      <w:pPr>
        <w:ind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过程同上</w:t>
      </w:r>
    </w:p>
    <w:p w14:paraId="5F3833E0">
      <w:r>
        <w:drawing>
          <wp:inline distT="0" distB="0" distL="114300" distR="114300">
            <wp:extent cx="5270500" cy="1367155"/>
            <wp:effectExtent l="0" t="0" r="2540" b="4445"/>
            <wp:docPr id="6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0CDE6">
      <w:pPr>
        <w:pStyle w:val="6"/>
      </w:pPr>
      <w:bookmarkStart w:id="21" w:name="_Toc28683"/>
      <w:r>
        <w:t>3.3人员职业资格</w:t>
      </w:r>
      <w:bookmarkEnd w:id="21"/>
    </w:p>
    <w:p w14:paraId="5199057A">
      <w:pPr>
        <w:rPr>
          <w:rFonts w:hint="default" w:eastAsia="宋体"/>
          <w:lang w:val="en-US" w:eastAsia="zh-CN"/>
        </w:rPr>
      </w:pPr>
      <w:r>
        <w:tab/>
      </w:r>
      <w:r>
        <w:rPr>
          <w:rFonts w:hint="eastAsia"/>
          <w:lang w:val="en-US" w:eastAsia="zh-CN"/>
        </w:rPr>
        <w:t>过程同上</w:t>
      </w:r>
    </w:p>
    <w:p w14:paraId="7D394824">
      <w:r>
        <w:drawing>
          <wp:inline distT="0" distB="0" distL="114300" distR="114300">
            <wp:extent cx="5261610" cy="1245235"/>
            <wp:effectExtent l="0" t="0" r="11430" b="4445"/>
            <wp:docPr id="6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9A873">
      <w:pPr>
        <w:pStyle w:val="6"/>
        <w:rPr>
          <w:rFonts w:hint="default" w:eastAsiaTheme="majorEastAsia"/>
          <w:lang w:val="en-US" w:eastAsia="zh-CN"/>
        </w:rPr>
      </w:pPr>
      <w:bookmarkStart w:id="22" w:name="_Toc31598"/>
      <w:r>
        <w:t>3.4</w:t>
      </w:r>
      <w:r>
        <w:rPr>
          <w:rFonts w:hint="eastAsia"/>
          <w:lang w:val="en-US" w:eastAsia="zh-CN"/>
        </w:rPr>
        <w:t>投标业绩</w:t>
      </w:r>
      <w:bookmarkEnd w:id="22"/>
    </w:p>
    <w:p w14:paraId="6A67119F">
      <w:pPr>
        <w:ind w:firstLine="420"/>
      </w:pPr>
      <w:r>
        <w:t>过程同上</w:t>
      </w:r>
    </w:p>
    <w:p w14:paraId="5979DF89">
      <w:r>
        <w:drawing>
          <wp:inline distT="0" distB="0" distL="114300" distR="114300">
            <wp:extent cx="5262245" cy="1741170"/>
            <wp:effectExtent l="0" t="0" r="10795" b="11430"/>
            <wp:docPr id="6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3FAB0">
      <w:pPr>
        <w:ind w:firstLine="420"/>
      </w:pPr>
    </w:p>
    <w:p w14:paraId="74ADEAC6">
      <w:pPr>
        <w:pStyle w:val="6"/>
        <w:rPr>
          <w:rFonts w:hint="default" w:eastAsiaTheme="majorEastAsia"/>
          <w:lang w:val="en-US" w:eastAsia="zh-CN"/>
        </w:rPr>
      </w:pPr>
      <w:bookmarkStart w:id="23" w:name="_Toc29872"/>
      <w:r>
        <w:t>3.5</w:t>
      </w:r>
      <w:r>
        <w:rPr>
          <w:rFonts w:hint="eastAsia"/>
          <w:lang w:val="en-US" w:eastAsia="zh-CN"/>
        </w:rPr>
        <w:t>企业获奖</w:t>
      </w:r>
      <w:bookmarkEnd w:id="23"/>
    </w:p>
    <w:p w14:paraId="3FCD562C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过程同上</w:t>
      </w:r>
    </w:p>
    <w:p w14:paraId="1DFCA12A">
      <w:r>
        <w:drawing>
          <wp:inline distT="0" distB="0" distL="114300" distR="114300">
            <wp:extent cx="5269230" cy="1421765"/>
            <wp:effectExtent l="0" t="0" r="3810" b="10795"/>
            <wp:docPr id="6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bookmarkEnd w:id="3"/>
      <w:bookmarkEnd w:id="4"/>
      <w:bookmarkEnd w:id="5"/>
    </w:p>
    <w:p w14:paraId="53DCC99E">
      <w:pPr>
        <w:pStyle w:val="6"/>
        <w:bidi w:val="0"/>
        <w:rPr>
          <w:rFonts w:hint="eastAsia"/>
          <w:lang w:val="en-US" w:eastAsia="zh-CN"/>
        </w:rPr>
      </w:pPr>
      <w:bookmarkStart w:id="24" w:name="_Toc30296"/>
      <w:r>
        <w:rPr>
          <w:rFonts w:hint="eastAsia"/>
          <w:lang w:val="en-US" w:eastAsia="zh-CN"/>
        </w:rPr>
        <w:t>3.6各类证书、企业财务、投标所需材料等</w:t>
      </w:r>
      <w:bookmarkEnd w:id="24"/>
    </w:p>
    <w:p w14:paraId="700F178F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过程同上，不再赘述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8C728">
    <w:pPr>
      <w:widowControl/>
      <w:spacing w:line="320" w:lineRule="atLeast"/>
      <w:jc w:val="left"/>
      <w:textAlignment w:val="baseline"/>
      <w:rPr>
        <w:rFonts w:ascii="宋体" w:hAnsi="宋体" w:cs="宋体"/>
        <w:color w:val="000000"/>
        <w:kern w:val="0"/>
        <w:sz w:val="18"/>
        <w:szCs w:val="18"/>
      </w:rPr>
    </w:pPr>
    <w:r>
      <w:rPr>
        <w:rFonts w:ascii="宋体" w:hAnsi="宋体" w:cs="宋体"/>
        <w:color w:val="000000"/>
        <w:kern w:val="0"/>
        <w:sz w:val="18"/>
        <w:szCs w:val="18"/>
      </w:rPr>
      <w:pict>
        <v:rect id="_x0000_i1025" o:spt="1" style="height:3pt;width:415.3pt;" fillcolor="#70AD47" filled="t" stroked="f" coordsize="21600,21600" o:hr="t" o:hrstd="t" o:hrnoshade="t" o:hralign="center">
          <v:path/>
          <v:fill on="t" focussize="0,0"/>
          <v:stroke on="f"/>
          <v:imagedata o:title=""/>
          <o:lock v:ext="edit"/>
          <w10:wrap type="none"/>
          <w10:anchorlock/>
        </v:rect>
      </w:pict>
    </w:r>
  </w:p>
  <w:p w14:paraId="559EE6A8">
    <w:pPr>
      <w:widowControl/>
      <w:spacing w:line="320" w:lineRule="atLeast"/>
      <w:jc w:val="left"/>
      <w:textAlignment w:val="baseline"/>
      <w:rPr>
        <w:rFonts w:asciiTheme="minorEastAsia" w:hAnsiTheme="minorEastAsia" w:eastAsiaTheme="minorEastAsia"/>
        <w:sz w:val="18"/>
        <w:szCs w:val="18"/>
      </w:rPr>
    </w:pPr>
    <w:r>
      <w:rPr>
        <w:rFonts w:hint="eastAsia" w:cs="宋体" w:asciiTheme="minorEastAsia" w:hAnsiTheme="minorEastAsia" w:eastAsiaTheme="minorEastAsia"/>
        <w:color w:val="000000"/>
        <w:kern w:val="0"/>
        <w:sz w:val="18"/>
        <w:szCs w:val="18"/>
        <w:lang w:val="en-US" w:eastAsia="zh-CN"/>
      </w:rPr>
      <w:t xml:space="preserve">                        </w:t>
    </w:r>
    <w:r>
      <w:rPr>
        <w:rFonts w:hint="eastAsia" w:cs="宋体" w:asciiTheme="minorEastAsia" w:hAnsiTheme="minorEastAsia" w:eastAsiaTheme="minorEastAsia"/>
        <w:color w:val="000000"/>
        <w:kern w:val="0"/>
        <w:sz w:val="18"/>
        <w:szCs w:val="18"/>
      </w:rPr>
      <w:t xml:space="preserve"> </w:t>
    </w:r>
    <w:r>
      <w:rPr>
        <w:rFonts w:cs="宋体" w:asciiTheme="minorEastAsia" w:hAnsiTheme="minorEastAsia" w:eastAsiaTheme="minorEastAsia"/>
        <w:color w:val="000000"/>
        <w:kern w:val="0"/>
        <w:sz w:val="18"/>
        <w:szCs w:val="18"/>
      </w:rPr>
      <w:tab/>
    </w:r>
    <w:r>
      <w:rPr>
        <w:rFonts w:cs="宋体" w:asciiTheme="minorEastAsia" w:hAnsiTheme="minorEastAsia" w:eastAsiaTheme="minorEastAsia"/>
        <w:color w:val="000000"/>
        <w:kern w:val="0"/>
        <w:sz w:val="18"/>
        <w:szCs w:val="18"/>
      </w:rPr>
      <w:tab/>
    </w:r>
    <w:r>
      <w:rPr>
        <w:rFonts w:cs="宋体" w:asciiTheme="minorEastAsia" w:hAnsiTheme="minorEastAsia" w:eastAsiaTheme="minorEastAsia"/>
        <w:color w:val="000000"/>
        <w:kern w:val="0"/>
        <w:sz w:val="18"/>
        <w:szCs w:val="18"/>
      </w:rPr>
      <w:tab/>
    </w:r>
    <w:r>
      <w:rPr>
        <w:rFonts w:cs="宋体" w:asciiTheme="minorEastAsia" w:hAnsiTheme="minorEastAsia" w:eastAsiaTheme="minorEastAsia"/>
        <w:color w:val="000000"/>
        <w:kern w:val="0"/>
        <w:sz w:val="18"/>
        <w:szCs w:val="18"/>
      </w:rPr>
      <w:tab/>
    </w:r>
    <w:r>
      <w:rPr>
        <w:rFonts w:hint="eastAsia" w:cs="宋体" w:asciiTheme="minorEastAsia" w:hAnsiTheme="minorEastAsia" w:eastAsiaTheme="minorEastAsia"/>
        <w:color w:val="000000"/>
        <w:kern w:val="0"/>
        <w:sz w:val="18"/>
        <w:szCs w:val="18"/>
        <w:lang w:val="en-US" w:eastAsia="zh-CN"/>
      </w:rPr>
      <w:t xml:space="preserve">                     </w:t>
    </w:r>
    <w:sdt>
      <w:sdtPr>
        <w:rPr>
          <w:rFonts w:asciiTheme="minorEastAsia" w:hAnsiTheme="minorEastAsia" w:eastAsiaTheme="minorEastAsia"/>
          <w:sz w:val="18"/>
          <w:szCs w:val="18"/>
        </w:rPr>
        <w:id w:val="843435250"/>
      </w:sdtPr>
      <w:sdtEndPr>
        <w:rPr>
          <w:rFonts w:asciiTheme="minorEastAsia" w:hAnsiTheme="minorEastAsia" w:eastAsiaTheme="minorEastAsia"/>
          <w:sz w:val="18"/>
          <w:szCs w:val="18"/>
        </w:rPr>
      </w:sdtEndPr>
      <w:sdtContent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fldChar w:fldCharType="begin"/>
        </w:r>
        <w:r>
          <w:rPr>
            <w:rFonts w:asciiTheme="minorEastAsia" w:hAnsiTheme="minorEastAsia" w:eastAsiaTheme="minorEastAsia"/>
            <w:sz w:val="18"/>
            <w:szCs w:val="1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18"/>
            <w:szCs w:val="18"/>
          </w:rPr>
          <w:fldChar w:fldCharType="separate"/>
        </w:r>
        <w:r>
          <w:rPr>
            <w:rFonts w:asciiTheme="minorEastAsia" w:hAnsiTheme="minorEastAsia" w:eastAsiaTheme="minorEastAsia"/>
            <w:sz w:val="18"/>
            <w:szCs w:val="18"/>
            <w:lang w:val="zh-CN"/>
          </w:rPr>
          <w:t>16</w:t>
        </w:r>
        <w:r>
          <w:rPr>
            <w:rFonts w:asciiTheme="minorEastAsia" w:hAnsiTheme="minorEastAsia" w:eastAsiaTheme="minorEastAsia"/>
            <w:sz w:val="18"/>
            <w:szCs w:val="18"/>
          </w:rPr>
          <w:fldChar w:fldCharType="end"/>
        </w:r>
      </w:sdtContent>
    </w:sdt>
  </w:p>
  <w:p w14:paraId="09656EC2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AF595">
    <w:pPr>
      <w:widowControl/>
      <w:spacing w:line="320" w:lineRule="atLeast"/>
      <w:jc w:val="left"/>
      <w:textAlignment w:val="baseline"/>
      <w:rPr>
        <w:rFonts w:ascii="微软雅黑" w:hAnsi="微软雅黑" w:eastAsia="微软雅黑" w:cs="宋体"/>
        <w:color w:val="000000"/>
        <w:kern w:val="0"/>
        <w:sz w:val="24"/>
      </w:rPr>
    </w:pPr>
    <w:r>
      <w:rPr>
        <w:rFonts w:ascii="MS Gothic" w:hAnsi="MS Gothic" w:eastAsia="微软雅黑" w:cs="MS Gothic"/>
        <w:color w:val="000000"/>
        <w:kern w:val="0"/>
        <w:sz w:val="24"/>
      </w:rPr>
      <w:t>​​</w:t>
    </w:r>
  </w:p>
  <w:p w14:paraId="64E5B4CE">
    <w:pPr>
      <w:pBdr>
        <w:bottom w:val="thickThinSmallGap" w:color="622423" w:sz="24" w:space="1"/>
      </w:pBdr>
      <w:tabs>
        <w:tab w:val="center" w:pos="4153"/>
        <w:tab w:val="right" w:pos="8306"/>
      </w:tabs>
      <w:snapToGrid w:val="0"/>
      <w:rPr>
        <w:rFonts w:hint="eastAsia" w:ascii="Calibri Light" w:hAnsi="Calibri Light" w:eastAsia="宋体"/>
        <w:sz w:val="18"/>
        <w:szCs w:val="18"/>
        <w:lang w:val="en-US" w:eastAsia="zh-CN"/>
      </w:rPr>
    </w:pPr>
    <w:r>
      <w:rPr>
        <w:rFonts w:ascii="Calibri Light" w:hAnsi="Calibri Light"/>
        <w:sz w:val="18"/>
        <w:szCs w:val="18"/>
      </w:rPr>
      <w:tab/>
    </w:r>
    <w:r>
      <w:rPr>
        <w:rFonts w:hint="eastAsia" w:ascii="Calibri Light" w:hAnsi="Calibri Light"/>
        <w:sz w:val="18"/>
        <w:szCs w:val="18"/>
        <w:lang w:val="en-US" w:eastAsia="zh-CN"/>
      </w:rPr>
      <w:t>塔城地区</w:t>
    </w:r>
    <w:r>
      <w:rPr>
        <w:rFonts w:hint="eastAsia" w:ascii="Calibri Light" w:hAnsi="Calibri Light"/>
        <w:sz w:val="18"/>
        <w:szCs w:val="18"/>
      </w:rPr>
      <w:t>公共资源交易平台</w:t>
    </w:r>
    <w:r>
      <w:rPr>
        <w:rFonts w:hint="eastAsia" w:ascii="Calibri Light" w:hAnsi="Calibri Light"/>
        <w:sz w:val="18"/>
        <w:szCs w:val="18"/>
        <w:lang w:val="en-US" w:eastAsia="zh-CN"/>
      </w:rPr>
      <w:t>交易主体</w:t>
    </w:r>
    <w:r>
      <w:rPr>
        <w:rFonts w:hint="eastAsia" w:ascii="Calibri Light" w:hAnsi="Calibri Light"/>
        <w:sz w:val="18"/>
        <w:szCs w:val="18"/>
      </w:rPr>
      <w:t>信息入库操作手册V1.</w:t>
    </w:r>
    <w:r>
      <w:rPr>
        <w:rFonts w:hint="eastAsia" w:ascii="Calibri Light" w:hAnsi="Calibri Light"/>
        <w:sz w:val="18"/>
        <w:szCs w:val="18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1"/>
    <w:multiLevelType w:val="multilevel"/>
    <w:tmpl w:val="00000011"/>
    <w:lvl w:ilvl="0" w:tentative="0">
      <w:start w:val="1"/>
      <w:numFmt w:val="chineseCountingThousand"/>
      <w:pStyle w:val="2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snapToGrid w:val="0"/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"/>
        <w:kern w:val="0"/>
        <w:position w:val="0"/>
        <w:szCs w:val="2"/>
        <w:u w:val="none"/>
        <w:vertAlign w:val="baseline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1">
    <w:nsid w:val="1BAB326C"/>
    <w:multiLevelType w:val="multilevel"/>
    <w:tmpl w:val="1BAB326C"/>
    <w:lvl w:ilvl="0" w:tentative="0">
      <w:start w:val="1"/>
      <w:numFmt w:val="decimal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F1"/>
    <w:rsid w:val="000061EC"/>
    <w:rsid w:val="0002032D"/>
    <w:rsid w:val="00021945"/>
    <w:rsid w:val="000309D5"/>
    <w:rsid w:val="00032FAE"/>
    <w:rsid w:val="00060AB9"/>
    <w:rsid w:val="000922F3"/>
    <w:rsid w:val="0009289C"/>
    <w:rsid w:val="00096770"/>
    <w:rsid w:val="000B76FD"/>
    <w:rsid w:val="000C059B"/>
    <w:rsid w:val="000D161A"/>
    <w:rsid w:val="000D6C01"/>
    <w:rsid w:val="000E408D"/>
    <w:rsid w:val="000E5437"/>
    <w:rsid w:val="000E587C"/>
    <w:rsid w:val="000F0ED5"/>
    <w:rsid w:val="000F1820"/>
    <w:rsid w:val="000F6293"/>
    <w:rsid w:val="00100B49"/>
    <w:rsid w:val="00101856"/>
    <w:rsid w:val="00105EA2"/>
    <w:rsid w:val="00110780"/>
    <w:rsid w:val="00114FE1"/>
    <w:rsid w:val="0013424D"/>
    <w:rsid w:val="00150A0A"/>
    <w:rsid w:val="001618E9"/>
    <w:rsid w:val="001649B8"/>
    <w:rsid w:val="0017573B"/>
    <w:rsid w:val="00176D07"/>
    <w:rsid w:val="0018502A"/>
    <w:rsid w:val="001A295E"/>
    <w:rsid w:val="001B1F40"/>
    <w:rsid w:val="001B644D"/>
    <w:rsid w:val="001C016B"/>
    <w:rsid w:val="00201426"/>
    <w:rsid w:val="00220F33"/>
    <w:rsid w:val="002253B3"/>
    <w:rsid w:val="0024208F"/>
    <w:rsid w:val="00245756"/>
    <w:rsid w:val="0025306A"/>
    <w:rsid w:val="002564F3"/>
    <w:rsid w:val="00257684"/>
    <w:rsid w:val="00257E5E"/>
    <w:rsid w:val="00265571"/>
    <w:rsid w:val="002727C0"/>
    <w:rsid w:val="00283A6D"/>
    <w:rsid w:val="002B1877"/>
    <w:rsid w:val="002B5355"/>
    <w:rsid w:val="002B6350"/>
    <w:rsid w:val="002C5BCA"/>
    <w:rsid w:val="002D711F"/>
    <w:rsid w:val="002E31FF"/>
    <w:rsid w:val="002F3679"/>
    <w:rsid w:val="002F465E"/>
    <w:rsid w:val="002F5D01"/>
    <w:rsid w:val="00300B7F"/>
    <w:rsid w:val="00351DC2"/>
    <w:rsid w:val="00356EF1"/>
    <w:rsid w:val="00360F0C"/>
    <w:rsid w:val="003644C4"/>
    <w:rsid w:val="0037209A"/>
    <w:rsid w:val="0037546F"/>
    <w:rsid w:val="0038647E"/>
    <w:rsid w:val="00391312"/>
    <w:rsid w:val="003A10E9"/>
    <w:rsid w:val="003A4090"/>
    <w:rsid w:val="003A7952"/>
    <w:rsid w:val="003E1A81"/>
    <w:rsid w:val="003E3989"/>
    <w:rsid w:val="003F2CC8"/>
    <w:rsid w:val="00403268"/>
    <w:rsid w:val="00405A7F"/>
    <w:rsid w:val="00413156"/>
    <w:rsid w:val="00417672"/>
    <w:rsid w:val="0042055B"/>
    <w:rsid w:val="004238A6"/>
    <w:rsid w:val="004439E9"/>
    <w:rsid w:val="00446F93"/>
    <w:rsid w:val="00456C35"/>
    <w:rsid w:val="00460ADA"/>
    <w:rsid w:val="0048085C"/>
    <w:rsid w:val="00483342"/>
    <w:rsid w:val="00491425"/>
    <w:rsid w:val="004A62F4"/>
    <w:rsid w:val="004A7767"/>
    <w:rsid w:val="004B43B0"/>
    <w:rsid w:val="004C0C2B"/>
    <w:rsid w:val="004D5F7A"/>
    <w:rsid w:val="004E1F50"/>
    <w:rsid w:val="004E26F5"/>
    <w:rsid w:val="004E3AD6"/>
    <w:rsid w:val="004E566A"/>
    <w:rsid w:val="004E66B2"/>
    <w:rsid w:val="004E7F4C"/>
    <w:rsid w:val="004F252A"/>
    <w:rsid w:val="004F4F12"/>
    <w:rsid w:val="0050237D"/>
    <w:rsid w:val="0050412E"/>
    <w:rsid w:val="005072FA"/>
    <w:rsid w:val="0051073B"/>
    <w:rsid w:val="00511B78"/>
    <w:rsid w:val="00511E95"/>
    <w:rsid w:val="00515679"/>
    <w:rsid w:val="00525EC2"/>
    <w:rsid w:val="00531FC3"/>
    <w:rsid w:val="00570313"/>
    <w:rsid w:val="005708ED"/>
    <w:rsid w:val="00576DFA"/>
    <w:rsid w:val="005A3140"/>
    <w:rsid w:val="005A6F25"/>
    <w:rsid w:val="005B425E"/>
    <w:rsid w:val="005E30D9"/>
    <w:rsid w:val="005F782D"/>
    <w:rsid w:val="006005A7"/>
    <w:rsid w:val="006029B6"/>
    <w:rsid w:val="0062457E"/>
    <w:rsid w:val="00625FE1"/>
    <w:rsid w:val="006330A1"/>
    <w:rsid w:val="00640514"/>
    <w:rsid w:val="0065357B"/>
    <w:rsid w:val="006540B2"/>
    <w:rsid w:val="00661F13"/>
    <w:rsid w:val="00672905"/>
    <w:rsid w:val="00680533"/>
    <w:rsid w:val="006937DC"/>
    <w:rsid w:val="00694F28"/>
    <w:rsid w:val="006A2AB5"/>
    <w:rsid w:val="006D363F"/>
    <w:rsid w:val="006E1370"/>
    <w:rsid w:val="00722846"/>
    <w:rsid w:val="00726D39"/>
    <w:rsid w:val="007362F1"/>
    <w:rsid w:val="00741383"/>
    <w:rsid w:val="00747E87"/>
    <w:rsid w:val="0075501F"/>
    <w:rsid w:val="00764056"/>
    <w:rsid w:val="00764B3A"/>
    <w:rsid w:val="007809C1"/>
    <w:rsid w:val="00782686"/>
    <w:rsid w:val="0079355B"/>
    <w:rsid w:val="007A5EC6"/>
    <w:rsid w:val="007B3CC6"/>
    <w:rsid w:val="007C1247"/>
    <w:rsid w:val="007C15A4"/>
    <w:rsid w:val="007E2061"/>
    <w:rsid w:val="007E641A"/>
    <w:rsid w:val="007F0EFB"/>
    <w:rsid w:val="007F0F76"/>
    <w:rsid w:val="00806859"/>
    <w:rsid w:val="0081373C"/>
    <w:rsid w:val="00827943"/>
    <w:rsid w:val="00842755"/>
    <w:rsid w:val="00853F5C"/>
    <w:rsid w:val="0085748A"/>
    <w:rsid w:val="00873677"/>
    <w:rsid w:val="00881F6D"/>
    <w:rsid w:val="00885159"/>
    <w:rsid w:val="008D017C"/>
    <w:rsid w:val="008D07A1"/>
    <w:rsid w:val="008D44A8"/>
    <w:rsid w:val="008D6FA4"/>
    <w:rsid w:val="008E2F74"/>
    <w:rsid w:val="008E6208"/>
    <w:rsid w:val="00905E5A"/>
    <w:rsid w:val="0092488D"/>
    <w:rsid w:val="00935ABD"/>
    <w:rsid w:val="00937A6C"/>
    <w:rsid w:val="00952055"/>
    <w:rsid w:val="00953838"/>
    <w:rsid w:val="0096539D"/>
    <w:rsid w:val="009720CE"/>
    <w:rsid w:val="00973E64"/>
    <w:rsid w:val="00995053"/>
    <w:rsid w:val="009A5A3A"/>
    <w:rsid w:val="009B68E7"/>
    <w:rsid w:val="009B773A"/>
    <w:rsid w:val="009C17E4"/>
    <w:rsid w:val="009C26EE"/>
    <w:rsid w:val="009C4DA5"/>
    <w:rsid w:val="009E0FAD"/>
    <w:rsid w:val="009E5FA7"/>
    <w:rsid w:val="009F6E23"/>
    <w:rsid w:val="00A37B4B"/>
    <w:rsid w:val="00A64847"/>
    <w:rsid w:val="00A837F4"/>
    <w:rsid w:val="00A85A92"/>
    <w:rsid w:val="00A9596C"/>
    <w:rsid w:val="00AC03E4"/>
    <w:rsid w:val="00AC2BF9"/>
    <w:rsid w:val="00AE1AF9"/>
    <w:rsid w:val="00AF0489"/>
    <w:rsid w:val="00B27998"/>
    <w:rsid w:val="00B27F50"/>
    <w:rsid w:val="00B47D43"/>
    <w:rsid w:val="00B53169"/>
    <w:rsid w:val="00B53671"/>
    <w:rsid w:val="00B5370F"/>
    <w:rsid w:val="00B57AB6"/>
    <w:rsid w:val="00B70135"/>
    <w:rsid w:val="00B7163C"/>
    <w:rsid w:val="00B7233A"/>
    <w:rsid w:val="00B728F4"/>
    <w:rsid w:val="00B84BC6"/>
    <w:rsid w:val="00B866F8"/>
    <w:rsid w:val="00B92FEB"/>
    <w:rsid w:val="00B96746"/>
    <w:rsid w:val="00BB1A12"/>
    <w:rsid w:val="00BB5253"/>
    <w:rsid w:val="00BC003E"/>
    <w:rsid w:val="00BC3EA4"/>
    <w:rsid w:val="00BD4C8D"/>
    <w:rsid w:val="00BF1800"/>
    <w:rsid w:val="00BF6EE3"/>
    <w:rsid w:val="00BF704B"/>
    <w:rsid w:val="00C0376D"/>
    <w:rsid w:val="00C16FCB"/>
    <w:rsid w:val="00C42683"/>
    <w:rsid w:val="00C560B2"/>
    <w:rsid w:val="00C574CE"/>
    <w:rsid w:val="00C6163A"/>
    <w:rsid w:val="00C61823"/>
    <w:rsid w:val="00C647D0"/>
    <w:rsid w:val="00C84A14"/>
    <w:rsid w:val="00C861A4"/>
    <w:rsid w:val="00C86748"/>
    <w:rsid w:val="00C96448"/>
    <w:rsid w:val="00CB3430"/>
    <w:rsid w:val="00CB5D3B"/>
    <w:rsid w:val="00CD037C"/>
    <w:rsid w:val="00CD4195"/>
    <w:rsid w:val="00CD5B06"/>
    <w:rsid w:val="00CE1741"/>
    <w:rsid w:val="00CF059A"/>
    <w:rsid w:val="00D029C7"/>
    <w:rsid w:val="00D14D43"/>
    <w:rsid w:val="00D16D8C"/>
    <w:rsid w:val="00D22467"/>
    <w:rsid w:val="00D44E7E"/>
    <w:rsid w:val="00D50C8B"/>
    <w:rsid w:val="00D67845"/>
    <w:rsid w:val="00D76804"/>
    <w:rsid w:val="00D76AEC"/>
    <w:rsid w:val="00D8239D"/>
    <w:rsid w:val="00D84C30"/>
    <w:rsid w:val="00D8756D"/>
    <w:rsid w:val="00DD5523"/>
    <w:rsid w:val="00DE4CBA"/>
    <w:rsid w:val="00E047A0"/>
    <w:rsid w:val="00E07372"/>
    <w:rsid w:val="00E07FDF"/>
    <w:rsid w:val="00E1083E"/>
    <w:rsid w:val="00E1232A"/>
    <w:rsid w:val="00E2446B"/>
    <w:rsid w:val="00E44C15"/>
    <w:rsid w:val="00E51A3E"/>
    <w:rsid w:val="00E77991"/>
    <w:rsid w:val="00E83092"/>
    <w:rsid w:val="00E9568E"/>
    <w:rsid w:val="00EA4C08"/>
    <w:rsid w:val="00EA556E"/>
    <w:rsid w:val="00EB4696"/>
    <w:rsid w:val="00EB709A"/>
    <w:rsid w:val="00EC1CF1"/>
    <w:rsid w:val="00ED1ADF"/>
    <w:rsid w:val="00ED2707"/>
    <w:rsid w:val="00EE3ED3"/>
    <w:rsid w:val="00EF2BAF"/>
    <w:rsid w:val="00F00642"/>
    <w:rsid w:val="00F116FB"/>
    <w:rsid w:val="00F1690F"/>
    <w:rsid w:val="00F200B6"/>
    <w:rsid w:val="00F464AA"/>
    <w:rsid w:val="00F5448C"/>
    <w:rsid w:val="00F764DD"/>
    <w:rsid w:val="00F87C22"/>
    <w:rsid w:val="00F92F5E"/>
    <w:rsid w:val="00FA1289"/>
    <w:rsid w:val="00FA463A"/>
    <w:rsid w:val="00FA7B48"/>
    <w:rsid w:val="00FB5A7C"/>
    <w:rsid w:val="00FC3BB2"/>
    <w:rsid w:val="00FD14EC"/>
    <w:rsid w:val="00FD5F1C"/>
    <w:rsid w:val="00FE4A66"/>
    <w:rsid w:val="00FF0983"/>
    <w:rsid w:val="00FF49B8"/>
    <w:rsid w:val="00FF6E9C"/>
    <w:rsid w:val="017D7D9F"/>
    <w:rsid w:val="03BB542D"/>
    <w:rsid w:val="0471140E"/>
    <w:rsid w:val="057B48C0"/>
    <w:rsid w:val="05A01E43"/>
    <w:rsid w:val="06205375"/>
    <w:rsid w:val="07216109"/>
    <w:rsid w:val="079F70D4"/>
    <w:rsid w:val="09574C04"/>
    <w:rsid w:val="0C7D32E5"/>
    <w:rsid w:val="0C942660"/>
    <w:rsid w:val="0CD75850"/>
    <w:rsid w:val="0FED7338"/>
    <w:rsid w:val="1157016D"/>
    <w:rsid w:val="14783D17"/>
    <w:rsid w:val="149E2B00"/>
    <w:rsid w:val="15DD7B76"/>
    <w:rsid w:val="16AE324F"/>
    <w:rsid w:val="1AB61A64"/>
    <w:rsid w:val="1B390B89"/>
    <w:rsid w:val="1B6347D9"/>
    <w:rsid w:val="1C122591"/>
    <w:rsid w:val="1C596E04"/>
    <w:rsid w:val="21C55C0E"/>
    <w:rsid w:val="22E72644"/>
    <w:rsid w:val="26120118"/>
    <w:rsid w:val="27B017C4"/>
    <w:rsid w:val="28B0443E"/>
    <w:rsid w:val="2A2A66D4"/>
    <w:rsid w:val="2A3D1B3E"/>
    <w:rsid w:val="2B492D3C"/>
    <w:rsid w:val="2BED741D"/>
    <w:rsid w:val="2C342686"/>
    <w:rsid w:val="2DB33B27"/>
    <w:rsid w:val="2EA83021"/>
    <w:rsid w:val="305116A9"/>
    <w:rsid w:val="329241C3"/>
    <w:rsid w:val="32B22F02"/>
    <w:rsid w:val="36FB7422"/>
    <w:rsid w:val="370411C2"/>
    <w:rsid w:val="386D31DC"/>
    <w:rsid w:val="38B72A4D"/>
    <w:rsid w:val="38C944DB"/>
    <w:rsid w:val="38E000D2"/>
    <w:rsid w:val="3A1B1373"/>
    <w:rsid w:val="3A283DC8"/>
    <w:rsid w:val="3AA71AB7"/>
    <w:rsid w:val="3AFC3061"/>
    <w:rsid w:val="3B1E047E"/>
    <w:rsid w:val="3BFE5DC1"/>
    <w:rsid w:val="3D7A5A29"/>
    <w:rsid w:val="3F5366BA"/>
    <w:rsid w:val="3FEC6983"/>
    <w:rsid w:val="40037355"/>
    <w:rsid w:val="42057207"/>
    <w:rsid w:val="42790B2D"/>
    <w:rsid w:val="434A70AA"/>
    <w:rsid w:val="43A90447"/>
    <w:rsid w:val="443A4B31"/>
    <w:rsid w:val="4676047F"/>
    <w:rsid w:val="4699202C"/>
    <w:rsid w:val="47337891"/>
    <w:rsid w:val="478D435F"/>
    <w:rsid w:val="48C83103"/>
    <w:rsid w:val="49C45F69"/>
    <w:rsid w:val="4C2576E9"/>
    <w:rsid w:val="4E5536D0"/>
    <w:rsid w:val="4E6E5132"/>
    <w:rsid w:val="4EC46E20"/>
    <w:rsid w:val="514169FA"/>
    <w:rsid w:val="51833AC3"/>
    <w:rsid w:val="51B468D4"/>
    <w:rsid w:val="52F80E4F"/>
    <w:rsid w:val="53F75E6B"/>
    <w:rsid w:val="5629664C"/>
    <w:rsid w:val="58883F2C"/>
    <w:rsid w:val="588D58AB"/>
    <w:rsid w:val="59A8551B"/>
    <w:rsid w:val="5A5B51D4"/>
    <w:rsid w:val="5B49321D"/>
    <w:rsid w:val="5D212F13"/>
    <w:rsid w:val="5DC2637A"/>
    <w:rsid w:val="5DCF1585"/>
    <w:rsid w:val="5F195BE0"/>
    <w:rsid w:val="61D31BA1"/>
    <w:rsid w:val="65053515"/>
    <w:rsid w:val="66A74A51"/>
    <w:rsid w:val="66EF79B5"/>
    <w:rsid w:val="67B93DAB"/>
    <w:rsid w:val="69072B9A"/>
    <w:rsid w:val="69A235D0"/>
    <w:rsid w:val="6B095746"/>
    <w:rsid w:val="6E4D43BD"/>
    <w:rsid w:val="6EB20329"/>
    <w:rsid w:val="7098040E"/>
    <w:rsid w:val="770B6847"/>
    <w:rsid w:val="79110EB4"/>
    <w:rsid w:val="79A85DE2"/>
    <w:rsid w:val="7C830A27"/>
    <w:rsid w:val="7CAA4F58"/>
    <w:rsid w:val="7E1D636B"/>
    <w:rsid w:val="7E234992"/>
    <w:rsid w:val="7E254002"/>
    <w:rsid w:val="7EF63BF7"/>
    <w:rsid w:val="7FE6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20"/>
    <w:qFormat/>
    <w:uiPriority w:val="0"/>
    <w:pPr>
      <w:keepNext/>
      <w:keepLines/>
      <w:numPr>
        <w:ilvl w:val="0"/>
        <w:numId w:val="1"/>
      </w:numPr>
      <w:spacing w:before="340" w:after="330" w:line="360" w:lineRule="auto"/>
      <w:outlineLvl w:val="0"/>
    </w:pPr>
    <w:rPr>
      <w:b/>
      <w:bCs/>
      <w:kern w:val="44"/>
      <w:sz w:val="36"/>
      <w:szCs w:val="28"/>
    </w:rPr>
  </w:style>
  <w:style w:type="paragraph" w:styleId="4">
    <w:name w:val="heading 2"/>
    <w:basedOn w:val="1"/>
    <w:next w:val="3"/>
    <w:link w:val="21"/>
    <w:unhideWhenUsed/>
    <w:qFormat/>
    <w:uiPriority w:val="0"/>
    <w:pPr>
      <w:keepNext/>
      <w:keepLines/>
      <w:tabs>
        <w:tab w:val="left" w:pos="567"/>
      </w:tabs>
      <w:spacing w:before="260" w:after="260" w:line="360" w:lineRule="auto"/>
      <w:ind w:left="567" w:hanging="567"/>
      <w:outlineLvl w:val="1"/>
    </w:pPr>
    <w:rPr>
      <w:b/>
      <w:bCs/>
      <w:sz w:val="32"/>
      <w:szCs w:val="32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2" w:lineRule="auto"/>
      <w:outlineLvl w:val="2"/>
    </w:pPr>
    <w:rPr>
      <w:b/>
      <w:sz w:val="32"/>
    </w:rPr>
  </w:style>
  <w:style w:type="paragraph" w:styleId="6">
    <w:name w:val="heading 4"/>
    <w:basedOn w:val="1"/>
    <w:next w:val="1"/>
    <w:link w:val="23"/>
    <w:unhideWhenUsed/>
    <w:qFormat/>
    <w:uiPriority w:val="9"/>
    <w:pPr>
      <w:keepNext/>
      <w:keepLines/>
      <w:spacing w:before="280" w:after="290" w:line="374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Indent Normal"/>
    <w:basedOn w:val="1"/>
    <w:qFormat/>
    <w:uiPriority w:val="0"/>
    <w:pPr>
      <w:spacing w:line="360" w:lineRule="auto"/>
      <w:ind w:firstLine="150" w:firstLineChars="150"/>
    </w:pPr>
    <w:rPr>
      <w:sz w:val="24"/>
    </w:rPr>
  </w:style>
  <w:style w:type="paragraph" w:styleId="7">
    <w:name w:val="annotation text"/>
    <w:basedOn w:val="1"/>
    <w:link w:val="30"/>
    <w:semiHidden/>
    <w:unhideWhenUsed/>
    <w:qFormat/>
    <w:uiPriority w:val="99"/>
    <w:pPr>
      <w:jc w:val="left"/>
    </w:pPr>
  </w:style>
  <w:style w:type="paragraph" w:styleId="8">
    <w:name w:val="toc 3"/>
    <w:basedOn w:val="1"/>
    <w:next w:val="1"/>
    <w:unhideWhenUsed/>
    <w:qFormat/>
    <w:uiPriority w:val="39"/>
    <w:pPr>
      <w:ind w:left="840" w:leftChars="400"/>
    </w:pPr>
  </w:style>
  <w:style w:type="paragraph" w:styleId="9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left" w:pos="420"/>
        <w:tab w:val="right" w:leader="dot" w:pos="8296"/>
      </w:tabs>
    </w:pPr>
  </w:style>
  <w:style w:type="paragraph" w:styleId="13">
    <w:name w:val="toc 4"/>
    <w:basedOn w:val="1"/>
    <w:next w:val="1"/>
    <w:unhideWhenUsed/>
    <w:qFormat/>
    <w:uiPriority w:val="39"/>
    <w:pPr>
      <w:tabs>
        <w:tab w:val="left" w:pos="1845"/>
        <w:tab w:val="right" w:leader="dot" w:pos="8296"/>
      </w:tabs>
      <w:ind w:left="1260" w:leftChars="600"/>
    </w:pPr>
  </w:style>
  <w:style w:type="paragraph" w:styleId="14">
    <w:name w:val="toc 2"/>
    <w:basedOn w:val="1"/>
    <w:next w:val="1"/>
    <w:unhideWhenUsed/>
    <w:qFormat/>
    <w:uiPriority w:val="39"/>
    <w:pPr>
      <w:tabs>
        <w:tab w:val="left" w:pos="840"/>
        <w:tab w:val="right" w:leader="dot" w:pos="8296"/>
      </w:tabs>
      <w:ind w:left="420" w:leftChars="200"/>
    </w:pPr>
  </w:style>
  <w:style w:type="paragraph" w:styleId="15">
    <w:name w:val="annotation subject"/>
    <w:basedOn w:val="7"/>
    <w:next w:val="7"/>
    <w:link w:val="31"/>
    <w:semiHidden/>
    <w:unhideWhenUsed/>
    <w:qFormat/>
    <w:uiPriority w:val="99"/>
    <w:rPr>
      <w:b/>
      <w:bCs/>
    </w:rPr>
  </w:style>
  <w:style w:type="character" w:styleId="18">
    <w:name w:val="Hyperlink"/>
    <w:unhideWhenUsed/>
    <w:qFormat/>
    <w:uiPriority w:val="99"/>
    <w:rPr>
      <w:color w:val="0000FF"/>
      <w:u w:val="single"/>
    </w:rPr>
  </w:style>
  <w:style w:type="character" w:styleId="19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0">
    <w:name w:val="标题 1 Char"/>
    <w:basedOn w:val="17"/>
    <w:link w:val="2"/>
    <w:qFormat/>
    <w:uiPriority w:val="0"/>
    <w:rPr>
      <w:rFonts w:ascii="Times New Roman" w:hAnsi="Times New Roman" w:eastAsia="宋体" w:cs="Times New Roman"/>
      <w:b/>
      <w:bCs/>
      <w:kern w:val="44"/>
      <w:sz w:val="36"/>
      <w:szCs w:val="28"/>
    </w:rPr>
  </w:style>
  <w:style w:type="character" w:customStyle="1" w:styleId="21">
    <w:name w:val="标题 2 Char"/>
    <w:basedOn w:val="17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2">
    <w:name w:val="标题 3 Char"/>
    <w:basedOn w:val="17"/>
    <w:link w:val="5"/>
    <w:qFormat/>
    <w:uiPriority w:val="9"/>
    <w:rPr>
      <w:rFonts w:ascii="Times New Roman" w:hAnsi="Times New Roman" w:eastAsia="宋体" w:cs="Times New Roman"/>
      <w:b/>
      <w:sz w:val="32"/>
      <w:szCs w:val="24"/>
    </w:rPr>
  </w:style>
  <w:style w:type="character" w:customStyle="1" w:styleId="23">
    <w:name w:val="标题 4 Char"/>
    <w:basedOn w:val="17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5">
    <w:name w:val="GP正文(首行缩进)"/>
    <w:basedOn w:val="1"/>
    <w:qFormat/>
    <w:uiPriority w:val="0"/>
    <w:pPr>
      <w:spacing w:line="360" w:lineRule="auto"/>
      <w:ind w:firstLine="200" w:firstLineChars="200"/>
    </w:pPr>
    <w:rPr>
      <w:sz w:val="24"/>
      <w:szCs w:val="21"/>
    </w:rPr>
  </w:style>
  <w:style w:type="character" w:customStyle="1" w:styleId="26">
    <w:name w:val="node-text2"/>
    <w:qFormat/>
    <w:uiPriority w:val="0"/>
  </w:style>
  <w:style w:type="character" w:customStyle="1" w:styleId="27">
    <w:name w:val="页眉 Char"/>
    <w:basedOn w:val="17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页脚 Char"/>
    <w:basedOn w:val="17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9">
    <w:name w:val="TOC 标题1"/>
    <w:basedOn w:val="2"/>
    <w:next w:val="1"/>
    <w:unhideWhenUsed/>
    <w:qFormat/>
    <w:uiPriority w:val="39"/>
    <w:pPr>
      <w:widowControl/>
      <w:numPr>
        <w:numId w:val="0"/>
      </w:numPr>
      <w:tabs>
        <w:tab w:val="clear" w:pos="425"/>
      </w:tabs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30">
    <w:name w:val="批注文字 Char"/>
    <w:basedOn w:val="17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1">
    <w:name w:val="批注主题 Char"/>
    <w:basedOn w:val="30"/>
    <w:link w:val="15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2">
    <w:name w:val="批注框文本 Char"/>
    <w:basedOn w:val="17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numbering" Target="numbering.xml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A9896-3075-49A0-BDCE-36A99334CE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18</Pages>
  <Words>1717</Words>
  <Characters>1918</Characters>
  <Lines>23</Lines>
  <Paragraphs>6</Paragraphs>
  <TotalTime>5</TotalTime>
  <ScaleCrop>false</ScaleCrop>
  <LinksUpToDate>false</LinksUpToDate>
  <CharactersWithSpaces>2018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2019-01-17T03:02:00Z</dcterms:created>
  <dc:creator>China</dc:creator>
  <cp:lastModifiedBy>41784</cp:lastModifiedBy>
  <cp:lastPrinted>2019-08-09T09:41:00Z</cp:lastPrinted>
  <dcterms:modified xsi:type="dcterms:W3CDTF">2026-09-23T03:54:48Z</dcterms:modified>
  <cp:revision>276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eyJoZGlkIjoiZmM0YzFiYzM5ZTkxYTY2OGU2N2Y5ZWI1MDFkNTBlMjIiLCJ1c2VySWQiOiIxNzY4ODAwNDI4In0=</vt:lpwstr>
  </property>
  <property fmtid="{D5CDD505-2E9C-101B-9397-08002B2CF9AE}" pid="4" name="ICV">
    <vt:lpwstr>F41F036E367B407ABA259B869A4EEE0C_12</vt:lpwstr>
  </property>
</Properties>
</file>