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08527">
      <w:pPr>
        <w:pStyle w:val="3"/>
        <w:ind w:firstLine="0" w:firstLineChars="0"/>
        <w:jc w:val="center"/>
        <w:rPr>
          <w:rFonts w:ascii="宋体" w:hAnsi="宋体"/>
          <w:b/>
          <w:bCs/>
        </w:rPr>
      </w:pPr>
    </w:p>
    <w:p w14:paraId="2FFDB9B4">
      <w:pPr>
        <w:pStyle w:val="3"/>
        <w:ind w:firstLine="0" w:firstLineChars="0"/>
        <w:jc w:val="center"/>
        <w:rPr>
          <w:rFonts w:ascii="宋体" w:hAnsi="宋体"/>
          <w:b/>
          <w:bCs/>
        </w:rPr>
      </w:pPr>
    </w:p>
    <w:p w14:paraId="7FEFB845">
      <w:pPr>
        <w:pStyle w:val="3"/>
        <w:ind w:firstLine="0" w:firstLineChars="0"/>
        <w:jc w:val="center"/>
        <w:rPr>
          <w:rFonts w:ascii="宋体" w:hAnsi="宋体"/>
          <w:b/>
          <w:bCs/>
        </w:rPr>
      </w:pPr>
    </w:p>
    <w:p w14:paraId="2FC29B71">
      <w:pPr>
        <w:pStyle w:val="3"/>
        <w:ind w:firstLine="0" w:firstLineChars="0"/>
        <w:jc w:val="center"/>
        <w:rPr>
          <w:rFonts w:ascii="宋体" w:hAnsi="宋体"/>
          <w:b/>
          <w:bCs/>
        </w:rPr>
      </w:pPr>
    </w:p>
    <w:p w14:paraId="1E7AF6A9">
      <w:pPr>
        <w:pStyle w:val="3"/>
        <w:ind w:firstLine="0" w:firstLineChars="0"/>
        <w:jc w:val="center"/>
        <w:rPr>
          <w:rFonts w:ascii="宋体" w:hAnsi="宋体"/>
          <w:b/>
          <w:bCs/>
        </w:rPr>
      </w:pPr>
    </w:p>
    <w:p w14:paraId="0D24856B">
      <w:pPr>
        <w:jc w:val="center"/>
        <w:rPr>
          <w:rFonts w:ascii="黑体" w:eastAsia="黑体"/>
          <w:sz w:val="72"/>
          <w:szCs w:val="72"/>
        </w:rPr>
      </w:pPr>
    </w:p>
    <w:p w14:paraId="20CADD69">
      <w:pPr>
        <w:pStyle w:val="3"/>
        <w:ind w:firstLine="0" w:firstLineChars="0"/>
        <w:jc w:val="center"/>
        <w:rPr>
          <w:rFonts w:ascii="黑体" w:hAnsi="黑体" w:eastAsia="黑体" w:cs="宋体"/>
          <w:bCs/>
          <w:sz w:val="48"/>
          <w:szCs w:val="48"/>
        </w:rPr>
      </w:pPr>
      <w:r>
        <w:rPr>
          <w:rFonts w:hint="eastAsia" w:ascii="黑体" w:hAnsi="黑体" w:eastAsia="黑体" w:cs="宋体"/>
          <w:bCs/>
          <w:sz w:val="48"/>
          <w:szCs w:val="48"/>
        </w:rPr>
        <w:t>通用无范本</w:t>
      </w:r>
    </w:p>
    <w:p w14:paraId="252A965B">
      <w:pPr>
        <w:pStyle w:val="3"/>
        <w:ind w:firstLine="0" w:firstLineChars="0"/>
        <w:jc w:val="center"/>
        <w:rPr>
          <w:rFonts w:ascii="黑体" w:hAnsi="黑体" w:eastAsia="黑体" w:cs="宋体"/>
          <w:bCs/>
          <w:sz w:val="48"/>
          <w:szCs w:val="48"/>
        </w:rPr>
      </w:pPr>
      <w:r>
        <w:rPr>
          <w:rFonts w:hint="eastAsia" w:ascii="黑体" w:hAnsi="黑体" w:eastAsia="黑体" w:cs="宋体"/>
          <w:bCs/>
          <w:sz w:val="48"/>
          <w:szCs w:val="48"/>
        </w:rPr>
        <w:t>操作手册V1.1</w:t>
      </w:r>
    </w:p>
    <w:p w14:paraId="1F3A6DAE">
      <w:pPr>
        <w:widowControl/>
        <w:jc w:val="left"/>
        <w:rPr>
          <w:rFonts w:ascii="黑体" w:hAnsi="黑体" w:eastAsia="黑体" w:cs="宋体"/>
          <w:bCs/>
          <w:sz w:val="48"/>
          <w:szCs w:val="48"/>
        </w:rPr>
      </w:pPr>
      <w:r>
        <w:rPr>
          <w:rFonts w:ascii="黑体" w:hAnsi="黑体" w:eastAsia="黑体" w:cs="宋体"/>
          <w:bCs/>
          <w:sz w:val="48"/>
          <w:szCs w:val="48"/>
        </w:rPr>
        <w:br w:type="page"/>
      </w:r>
    </w:p>
    <w:p w14:paraId="52DBA2E2">
      <w:pPr>
        <w:pStyle w:val="3"/>
        <w:ind w:firstLine="0" w:firstLineChars="0"/>
        <w:jc w:val="center"/>
        <w:rPr>
          <w:rFonts w:ascii="黑体" w:eastAsia="黑体"/>
          <w:sz w:val="48"/>
          <w:szCs w:val="48"/>
        </w:rPr>
      </w:pPr>
    </w:p>
    <w:p w14:paraId="225851D5">
      <w:pPr>
        <w:jc w:val="center"/>
        <w:rPr>
          <w:rFonts w:ascii="黑体" w:eastAsia="黑体"/>
          <w:sz w:val="44"/>
          <w:szCs w:val="44"/>
        </w:rPr>
      </w:pPr>
    </w:p>
    <w:sdt>
      <w:sdtPr>
        <w:rPr>
          <w:lang w:val="zh-CN"/>
        </w:rPr>
        <w:id w:val="334492238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 w14:paraId="7ADDC116">
          <w:pPr>
            <w:jc w:val="center"/>
          </w:pPr>
          <w:r>
            <w:rPr>
              <w:rFonts w:ascii="宋体" w:hAnsi="宋体"/>
            </w:rPr>
            <w:t>目录</w:t>
          </w:r>
        </w:p>
        <w:p w14:paraId="597B4922">
          <w:pPr>
            <w:pStyle w:val="12"/>
            <w:tabs>
              <w:tab w:val="right" w:leader="dot" w:pos="8306"/>
              <w:tab w:val="clear" w:pos="420"/>
              <w:tab w:val="clear" w:pos="8296"/>
            </w:tabs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"_Toc6141" </w:instrText>
          </w:r>
          <w:r>
            <w:fldChar w:fldCharType="separate"/>
          </w:r>
          <w:r>
            <w:rPr>
              <w:rFonts w:ascii="宋体" w:hAnsi="宋体"/>
            </w:rPr>
            <w:t xml:space="preserve">一. </w:t>
          </w:r>
          <w:r>
            <w:rPr>
              <w:rFonts w:hint="eastAsia" w:ascii="宋体" w:hAnsi="宋体"/>
            </w:rPr>
            <w:t>招标文件</w:t>
          </w:r>
          <w:r>
            <w:tab/>
          </w:r>
          <w:r>
            <w:fldChar w:fldCharType="begin"/>
          </w:r>
          <w:r>
            <w:instrText xml:space="preserve"> PAGEREF _Toc6141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3ECE5EF2">
          <w:pPr>
            <w:pStyle w:val="12"/>
            <w:tabs>
              <w:tab w:val="right" w:leader="dot" w:pos="8306"/>
              <w:tab w:val="clear" w:pos="420"/>
              <w:tab w:val="clear" w:pos="8296"/>
            </w:tabs>
          </w:pPr>
          <w:r>
            <w:fldChar w:fldCharType="begin"/>
          </w:r>
          <w:r>
            <w:instrText xml:space="preserve"> HYPERLINK \l "_Toc27387" </w:instrText>
          </w:r>
          <w:r>
            <w:fldChar w:fldCharType="separate"/>
          </w:r>
          <w:r>
            <w:t xml:space="preserve">二. </w:t>
          </w:r>
          <w:r>
            <w:rPr>
              <w:rFonts w:hint="eastAsia"/>
            </w:rPr>
            <w:t>评标办法</w:t>
          </w:r>
          <w:r>
            <w:tab/>
          </w:r>
          <w:r>
            <w:fldChar w:fldCharType="begin"/>
          </w:r>
          <w:r>
            <w:instrText xml:space="preserve"> PAGEREF _Toc27387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248B92FD">
          <w:pPr>
            <w:pStyle w:val="14"/>
            <w:tabs>
              <w:tab w:val="right" w:leader="dot" w:pos="8306"/>
              <w:tab w:val="clear" w:pos="840"/>
              <w:tab w:val="clear" w:pos="8296"/>
            </w:tabs>
          </w:pPr>
          <w:r>
            <w:fldChar w:fldCharType="begin"/>
          </w:r>
          <w:r>
            <w:instrText xml:space="preserve"> HYPERLINK \l "_Toc31364" </w:instrText>
          </w:r>
          <w:r>
            <w:fldChar w:fldCharType="separate"/>
          </w:r>
          <w:r>
            <w:rPr>
              <w:rFonts w:hint="eastAsia"/>
            </w:rPr>
            <w:t>1、 新增评分项。</w:t>
          </w:r>
          <w:r>
            <w:tab/>
          </w:r>
          <w:r>
            <w:fldChar w:fldCharType="begin"/>
          </w:r>
          <w:r>
            <w:instrText xml:space="preserve"> PAGEREF _Toc31364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6409390C">
          <w:pPr>
            <w:pStyle w:val="14"/>
            <w:tabs>
              <w:tab w:val="right" w:leader="dot" w:pos="8306"/>
              <w:tab w:val="clear" w:pos="840"/>
              <w:tab w:val="clear" w:pos="8296"/>
            </w:tabs>
          </w:pPr>
          <w:r>
            <w:fldChar w:fldCharType="begin"/>
          </w:r>
          <w:r>
            <w:instrText xml:space="preserve"> HYPERLINK \l "_Toc18319" </w:instrText>
          </w:r>
          <w:r>
            <w:fldChar w:fldCharType="separate"/>
          </w:r>
          <w:r>
            <w:rPr>
              <w:rFonts w:hint="eastAsia"/>
            </w:rPr>
            <w:t>2、 设置评分点</w:t>
          </w:r>
          <w:r>
            <w:tab/>
          </w:r>
          <w:r>
            <w:fldChar w:fldCharType="begin"/>
          </w:r>
          <w:r>
            <w:instrText xml:space="preserve"> PAGEREF _Toc18319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17F24DE1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"_Toc28140" </w:instrText>
          </w:r>
          <w:r>
            <w:fldChar w:fldCharType="separate"/>
          </w:r>
          <w:r>
            <w:rPr>
              <w:rFonts w:hint="eastAsia"/>
            </w:rPr>
            <w:t>2.1评分大节点设置</w:t>
          </w:r>
          <w:r>
            <w:tab/>
          </w:r>
          <w:r>
            <w:fldChar w:fldCharType="begin"/>
          </w:r>
          <w:r>
            <w:instrText xml:space="preserve"> PAGEREF _Toc28140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B54593E">
          <w:pPr>
            <w:pStyle w:val="14"/>
            <w:tabs>
              <w:tab w:val="right" w:leader="dot" w:pos="8306"/>
              <w:tab w:val="clear" w:pos="840"/>
              <w:tab w:val="clear" w:pos="8296"/>
            </w:tabs>
          </w:pPr>
          <w:r>
            <w:fldChar w:fldCharType="begin"/>
          </w:r>
          <w:r>
            <w:instrText xml:space="preserve"> HYPERLINK \l "_Toc4358" </w:instrText>
          </w:r>
          <w:r>
            <w:fldChar w:fldCharType="separate"/>
          </w:r>
          <w:r>
            <w:rPr>
              <w:rFonts w:hint="eastAsia"/>
            </w:rPr>
            <w:t>3、 权重设置</w:t>
          </w:r>
          <w:r>
            <w:tab/>
          </w:r>
          <w:r>
            <w:fldChar w:fldCharType="begin"/>
          </w:r>
          <w:r>
            <w:instrText xml:space="preserve"> PAGEREF _Toc4358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6FB4362">
          <w:pPr>
            <w:pStyle w:val="12"/>
            <w:tabs>
              <w:tab w:val="right" w:leader="dot" w:pos="8306"/>
              <w:tab w:val="clear" w:pos="420"/>
              <w:tab w:val="clear" w:pos="8296"/>
            </w:tabs>
          </w:pPr>
          <w:r>
            <w:fldChar w:fldCharType="begin"/>
          </w:r>
          <w:r>
            <w:instrText xml:space="preserve"> HYPERLINK \l "_Toc26905" </w:instrText>
          </w:r>
          <w:r>
            <w:fldChar w:fldCharType="separate"/>
          </w:r>
          <w:r>
            <w:t xml:space="preserve">三. </w:t>
          </w:r>
          <w:r>
            <w:rPr>
              <w:rFonts w:hint="eastAsia"/>
            </w:rPr>
            <w:t>投标文件组成</w:t>
          </w:r>
          <w:r>
            <w:tab/>
          </w:r>
          <w:r>
            <w:fldChar w:fldCharType="begin"/>
          </w:r>
          <w:r>
            <w:instrText xml:space="preserve"> PAGEREF _Toc26905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22B86F5D">
          <w:pPr>
            <w:pStyle w:val="12"/>
            <w:tabs>
              <w:tab w:val="right" w:leader="dot" w:pos="8306"/>
              <w:tab w:val="clear" w:pos="420"/>
              <w:tab w:val="clear" w:pos="8296"/>
            </w:tabs>
          </w:pPr>
          <w:r>
            <w:fldChar w:fldCharType="begin"/>
          </w:r>
          <w:r>
            <w:instrText xml:space="preserve"> HYPERLINK \l "_Toc20721" </w:instrText>
          </w:r>
          <w:r>
            <w:fldChar w:fldCharType="separate"/>
          </w:r>
          <w:r>
            <w:t xml:space="preserve">四. </w:t>
          </w:r>
          <w:r>
            <w:rPr>
              <w:rFonts w:hint="eastAsia"/>
            </w:rPr>
            <w:t>注意事项</w:t>
          </w:r>
          <w:r>
            <w:tab/>
          </w:r>
          <w:r>
            <w:fldChar w:fldCharType="begin"/>
          </w:r>
          <w:r>
            <w:instrText xml:space="preserve"> PAGEREF _Toc20721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69C5FF7D">
          <w:r>
            <w:fldChar w:fldCharType="end"/>
          </w:r>
        </w:p>
      </w:sdtContent>
    </w:sdt>
    <w:p w14:paraId="59E9A9CF">
      <w:pPr>
        <w:pStyle w:val="3"/>
        <w:ind w:firstLine="0" w:firstLineChars="0"/>
        <w:jc w:val="center"/>
        <w:rPr>
          <w:rFonts w:ascii="宋体" w:hAnsi="宋体"/>
          <w:b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5B97B7B">
      <w:pPr>
        <w:pStyle w:val="3"/>
        <w:ind w:firstLine="0" w:firstLineChars="0"/>
        <w:rPr>
          <w:rFonts w:ascii="宋体" w:hAnsi="宋体"/>
          <w:b/>
          <w:bCs/>
        </w:rPr>
      </w:pPr>
    </w:p>
    <w:p w14:paraId="77748003">
      <w:pPr>
        <w:pStyle w:val="2"/>
        <w:rPr>
          <w:rFonts w:ascii="宋体" w:hAnsi="宋体"/>
        </w:rPr>
      </w:pPr>
      <w:bookmarkStart w:id="0" w:name="_Toc6141"/>
      <w:bookmarkStart w:id="1" w:name="_Toc446945138"/>
      <w:bookmarkStart w:id="2" w:name="_Toc446944918"/>
      <w:bookmarkStart w:id="3" w:name="_Toc446946553"/>
      <w:bookmarkStart w:id="4" w:name="_Toc446945002"/>
      <w:r>
        <w:rPr>
          <w:rFonts w:hint="eastAsia" w:ascii="宋体" w:hAnsi="宋体"/>
        </w:rPr>
        <w:t>招标文件</w:t>
      </w:r>
      <w:bookmarkEnd w:id="0"/>
    </w:p>
    <w:p w14:paraId="0614E56B">
      <w:pPr>
        <w:pStyle w:val="3"/>
        <w:ind w:firstLine="360"/>
      </w:pPr>
      <w:r>
        <w:rPr>
          <w:rFonts w:hint="eastAsia"/>
        </w:rPr>
        <w:t>通用无范本，直接上传招标文件即可</w:t>
      </w:r>
    </w:p>
    <w:p w14:paraId="675D9B47">
      <w:pPr>
        <w:pStyle w:val="3"/>
        <w:ind w:firstLine="0" w:firstLineChars="0"/>
      </w:pPr>
      <w:r>
        <w:drawing>
          <wp:inline distT="0" distB="0" distL="114300" distR="114300">
            <wp:extent cx="5274310" cy="1464310"/>
            <wp:effectExtent l="0" t="0" r="13970" b="1397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D9F02">
      <w:pPr>
        <w:pStyle w:val="2"/>
      </w:pPr>
      <w:bookmarkStart w:id="5" w:name="_Toc27387"/>
      <w:r>
        <w:rPr>
          <w:rFonts w:hint="eastAsia"/>
        </w:rPr>
        <w:t>评标办法</w:t>
      </w:r>
      <w:bookmarkEnd w:id="5"/>
    </w:p>
    <w:p w14:paraId="72B93317">
      <w:pPr>
        <w:pStyle w:val="4"/>
        <w:numPr>
          <w:ilvl w:val="0"/>
          <w:numId w:val="2"/>
        </w:numPr>
      </w:pPr>
      <w:bookmarkStart w:id="6" w:name="_Toc31364"/>
      <w:r>
        <w:rPr>
          <w:rFonts w:hint="eastAsia"/>
        </w:rPr>
        <w:t>新增评分项。</w:t>
      </w:r>
      <w:bookmarkEnd w:id="6"/>
    </w:p>
    <w:p w14:paraId="3FDCF0A0">
      <w:pPr>
        <w:ind w:firstLine="420"/>
      </w:pPr>
      <w:r>
        <w:rPr>
          <w:rFonts w:hint="eastAsia"/>
        </w:rPr>
        <w:t>评分项类型中的“经济标暗标评审项”“技术标暗标评审项”“设计方案暗标评审项”，是暗标节点。</w:t>
      </w:r>
    </w:p>
    <w:p w14:paraId="09249A63">
      <w:pPr>
        <w:ind w:firstLine="420"/>
        <w:rPr>
          <w:b/>
          <w:bCs/>
        </w:rPr>
      </w:pPr>
      <w:r>
        <w:rPr>
          <w:rFonts w:hint="eastAsia"/>
          <w:b/>
          <w:bCs/>
        </w:rPr>
        <w:t>如果该评分项为暗标评审，则此处新增评分项时需勾选对应的暗标节点。</w:t>
      </w:r>
    </w:p>
    <w:p w14:paraId="0464AD50">
      <w:pPr>
        <w:ind w:firstLine="420"/>
        <w:rPr>
          <w:b/>
          <w:bCs/>
        </w:rPr>
      </w:pPr>
      <w:r>
        <w:rPr>
          <w:rFonts w:hint="eastAsia"/>
          <w:b/>
          <w:bCs/>
        </w:rPr>
        <w:t>如果该评分项为废标节点，则此处新增评分项时需勾选“是否为废标节点”。</w:t>
      </w:r>
    </w:p>
    <w:p w14:paraId="0098F1F9">
      <w:r>
        <w:drawing>
          <wp:inline distT="0" distB="0" distL="114300" distR="114300">
            <wp:extent cx="5274310" cy="2324100"/>
            <wp:effectExtent l="0" t="0" r="1397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5C806">
      <w:pPr>
        <w:ind w:firstLine="420"/>
      </w:pPr>
      <w:r>
        <w:rPr>
          <w:rFonts w:hint="eastAsia"/>
        </w:rPr>
        <w:t>同一评审步骤下可以有多个评分项</w:t>
      </w:r>
    </w:p>
    <w:p w14:paraId="63CC846B">
      <w:r>
        <w:drawing>
          <wp:inline distT="0" distB="0" distL="114300" distR="114300">
            <wp:extent cx="5274310" cy="1177290"/>
            <wp:effectExtent l="0" t="0" r="13970" b="1143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6F6DE">
      <w:r>
        <w:drawing>
          <wp:inline distT="0" distB="0" distL="114300" distR="114300">
            <wp:extent cx="5274310" cy="1334770"/>
            <wp:effectExtent l="0" t="0" r="13970" b="6350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7CBF9">
      <w:pPr>
        <w:ind w:firstLine="420"/>
      </w:pPr>
      <w:r>
        <w:rPr>
          <w:rFonts w:hint="eastAsia"/>
          <w:b/>
          <w:bCs/>
        </w:rPr>
        <w:t>如果新增评分项时忘记勾选暗标节点，可以在评分项类型里选择，然后保存修改</w:t>
      </w:r>
      <w:r>
        <w:rPr>
          <w:rFonts w:hint="eastAsia"/>
        </w:rPr>
        <w:t>。</w:t>
      </w:r>
    </w:p>
    <w:p w14:paraId="11D19E77">
      <w:r>
        <w:drawing>
          <wp:inline distT="0" distB="0" distL="114300" distR="114300">
            <wp:extent cx="5274310" cy="1229360"/>
            <wp:effectExtent l="0" t="0" r="1397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94EC2">
      <w:r>
        <w:drawing>
          <wp:inline distT="0" distB="0" distL="114300" distR="114300">
            <wp:extent cx="5274310" cy="1080770"/>
            <wp:effectExtent l="0" t="0" r="1397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4C37A">
      <w:pPr>
        <w:ind w:firstLine="420"/>
        <w:rPr>
          <w:b/>
          <w:bCs/>
        </w:rPr>
      </w:pPr>
      <w:r>
        <w:rPr>
          <w:rFonts w:hint="eastAsia"/>
          <w:b/>
          <w:bCs/>
        </w:rPr>
        <w:t>评审步骤有多个</w:t>
      </w:r>
    </w:p>
    <w:p w14:paraId="4AFFBDFD">
      <w:r>
        <w:drawing>
          <wp:inline distT="0" distB="0" distL="114300" distR="114300">
            <wp:extent cx="5274310" cy="1349375"/>
            <wp:effectExtent l="0" t="0" r="1397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p w14:paraId="7A73D4AB">
      <w:pPr>
        <w:pStyle w:val="3"/>
        <w:ind w:firstLine="0" w:firstLineChars="0"/>
      </w:pPr>
    </w:p>
    <w:p w14:paraId="796C3832">
      <w:pPr>
        <w:pStyle w:val="4"/>
        <w:numPr>
          <w:ilvl w:val="0"/>
          <w:numId w:val="2"/>
        </w:numPr>
      </w:pPr>
      <w:bookmarkStart w:id="7" w:name="_Toc18319"/>
      <w:r>
        <w:rPr>
          <w:rFonts w:hint="eastAsia"/>
        </w:rPr>
        <w:t>设置评分点</w:t>
      </w:r>
      <w:bookmarkEnd w:id="7"/>
    </w:p>
    <w:p w14:paraId="567BA7C3">
      <w:pPr>
        <w:pStyle w:val="3"/>
        <w:ind w:firstLine="420" w:firstLineChars="0"/>
        <w:rPr>
          <w:b/>
          <w:bCs/>
        </w:rPr>
      </w:pPr>
      <w:r>
        <w:rPr>
          <w:rFonts w:hint="eastAsia"/>
        </w:rPr>
        <w:t>如果是符合性打分方式（就是通过还是不通过），则评审结果选择“</w:t>
      </w:r>
      <w:bookmarkStart w:id="12" w:name="_GoBack"/>
      <w:bookmarkEnd w:id="12"/>
      <w:r>
        <w:rPr>
          <w:rFonts w:hint="eastAsia"/>
        </w:rPr>
        <w:t>符合性汇总模式”。</w:t>
      </w:r>
    </w:p>
    <w:p w14:paraId="2194B409">
      <w:pPr>
        <w:pStyle w:val="3"/>
        <w:ind w:firstLine="0" w:firstLineChars="0"/>
      </w:pPr>
      <w:r>
        <w:drawing>
          <wp:inline distT="0" distB="0" distL="114300" distR="114300">
            <wp:extent cx="5274310" cy="1998980"/>
            <wp:effectExtent l="0" t="0" r="13970" b="1270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09901">
      <w:pPr>
        <w:pStyle w:val="3"/>
        <w:ind w:firstLine="420" w:firstLineChars="0"/>
      </w:pPr>
      <w:r>
        <w:rPr>
          <w:rFonts w:hint="eastAsia"/>
        </w:rPr>
        <w:t>符合性汇总通过率</w:t>
      </w:r>
    </w:p>
    <w:p w14:paraId="4F8754C8">
      <w:pPr>
        <w:pStyle w:val="3"/>
        <w:ind w:firstLine="420" w:firstLineChars="0"/>
      </w:pPr>
      <w:r>
        <w:rPr>
          <w:rFonts w:hint="eastAsia"/>
        </w:rPr>
        <w:t>分项符合评分项通过率：0%表示某位专家下列评审点，其中一点不通过，汇总时“资格审查”仍为通过；100%表示某位专家下列评审点，其中一点不通过，汇总时“资格审查”即不通过。</w:t>
      </w:r>
    </w:p>
    <w:p w14:paraId="76788211">
      <w:pPr>
        <w:pStyle w:val="3"/>
        <w:ind w:firstLine="420" w:firstLineChars="0"/>
      </w:pPr>
      <w:r>
        <w:t>汇总时评委通过率</w:t>
      </w:r>
      <w:r>
        <w:rPr>
          <w:rFonts w:hint="eastAsia"/>
        </w:rPr>
        <w:t>：0%表示多位专家评审“资格审查”，有一位专家该评分项不通过，该单位的“资格审查”仍为通过；100%表示多位专家评审“资格审查”，有一位专家该评分项不通过，则该单位的“资格审查”为不通过。</w:t>
      </w:r>
    </w:p>
    <w:p w14:paraId="7E619486">
      <w:pPr>
        <w:pStyle w:val="3"/>
        <w:ind w:firstLine="0" w:firstLineChars="0"/>
      </w:pPr>
      <w:r>
        <w:drawing>
          <wp:inline distT="0" distB="0" distL="114300" distR="114300">
            <wp:extent cx="5274310" cy="1485900"/>
            <wp:effectExtent l="0" t="0" r="13970" b="7620"/>
            <wp:docPr id="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54D03">
      <w:pPr>
        <w:pStyle w:val="3"/>
        <w:ind w:firstLine="420" w:firstLineChars="0"/>
      </w:pPr>
      <w:r>
        <w:rPr>
          <w:rFonts w:hint="eastAsia"/>
        </w:rPr>
        <w:t>如果是计算式打分方式，则评审结果选择“分数汇总模式”</w:t>
      </w:r>
    </w:p>
    <w:p w14:paraId="7CAF3939">
      <w:pPr>
        <w:pStyle w:val="3"/>
        <w:ind w:firstLine="0" w:firstLineChars="0"/>
      </w:pPr>
      <w:r>
        <w:drawing>
          <wp:inline distT="0" distB="0" distL="114300" distR="114300">
            <wp:extent cx="5274310" cy="2164080"/>
            <wp:effectExtent l="0" t="0" r="13970" b="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AAB49">
      <w:pPr>
        <w:pStyle w:val="3"/>
        <w:ind w:firstLine="420" w:firstLineChars="0"/>
      </w:pPr>
      <w:r>
        <w:rPr>
          <w:rFonts w:hint="eastAsia"/>
        </w:rPr>
        <w:t>如果新增评分项时勾选了暗标节点（经济标暗标评审项/技术标暗标评审项/设计方案暗标评审项）且该评分项为暗标，则需勾选暗标，此处如不勾选，则默认明标。</w:t>
      </w:r>
    </w:p>
    <w:p w14:paraId="76D2CA99">
      <w:pPr>
        <w:pStyle w:val="3"/>
        <w:ind w:firstLine="0" w:firstLineChars="0"/>
      </w:pPr>
      <w:r>
        <w:drawing>
          <wp:inline distT="0" distB="0" distL="114300" distR="114300">
            <wp:extent cx="5274310" cy="1466850"/>
            <wp:effectExtent l="0" t="0" r="13970" b="11430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ED493">
      <w:pPr>
        <w:pStyle w:val="5"/>
      </w:pPr>
      <w:bookmarkStart w:id="8" w:name="_Toc28140"/>
      <w:r>
        <w:rPr>
          <w:rFonts w:hint="eastAsia"/>
        </w:rPr>
        <w:t>2.1评分大节点设置</w:t>
      </w:r>
      <w:bookmarkEnd w:id="8"/>
    </w:p>
    <w:p w14:paraId="3885FDD5">
      <w:pPr>
        <w:pStyle w:val="3"/>
        <w:ind w:firstLine="420" w:firstLineChars="0"/>
      </w:pPr>
      <w:r>
        <w:rPr>
          <w:rFonts w:hint="eastAsia"/>
        </w:rPr>
        <w:t>如果是符合性打分，首先设置大节点名称然后点击保存。</w:t>
      </w:r>
    </w:p>
    <w:p w14:paraId="73E88685">
      <w:pPr>
        <w:pStyle w:val="3"/>
        <w:ind w:firstLine="0" w:firstLineChars="0"/>
      </w:pPr>
      <w:r>
        <w:drawing>
          <wp:inline distT="0" distB="0" distL="114300" distR="114300">
            <wp:extent cx="5274310" cy="1956435"/>
            <wp:effectExtent l="0" t="0" r="13970" b="952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C7709">
      <w:pPr>
        <w:pStyle w:val="3"/>
        <w:ind w:firstLine="420" w:firstLineChars="0"/>
      </w:pPr>
      <w:r>
        <w:rPr>
          <w:rFonts w:hint="eastAsia"/>
        </w:rPr>
        <w:t>再次新增评分点，设置大节点下的评分项，序号需要设置为大节点的序号加“.”并从1开始计数新增，编辑设置评分点名称和评审标准。</w:t>
      </w:r>
    </w:p>
    <w:p w14:paraId="299EDC2A">
      <w:pPr>
        <w:pStyle w:val="3"/>
        <w:ind w:firstLine="0" w:firstLineChars="0"/>
      </w:pPr>
      <w:r>
        <w:drawing>
          <wp:inline distT="0" distB="0" distL="114300" distR="114300">
            <wp:extent cx="5274310" cy="2347595"/>
            <wp:effectExtent l="0" t="0" r="1397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AB383">
      <w:pPr>
        <w:pStyle w:val="3"/>
        <w:ind w:firstLine="420" w:firstLineChars="0"/>
      </w:pPr>
      <w:r>
        <w:rPr>
          <w:rFonts w:hint="eastAsia"/>
        </w:rPr>
        <w:t>正常设置评分点，符合性打分最终效果如下图：</w:t>
      </w:r>
    </w:p>
    <w:p w14:paraId="692D9A90">
      <w:pPr>
        <w:pStyle w:val="3"/>
        <w:ind w:firstLine="0" w:firstLineChars="0"/>
      </w:pPr>
      <w:r>
        <w:drawing>
          <wp:inline distT="0" distB="0" distL="114300" distR="114300">
            <wp:extent cx="5271770" cy="2199005"/>
            <wp:effectExtent l="0" t="0" r="127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2AF90">
      <w:pPr>
        <w:pStyle w:val="3"/>
        <w:ind w:firstLine="420" w:firstLineChars="0"/>
      </w:pPr>
      <w:r>
        <w:rPr>
          <w:rFonts w:hint="eastAsia"/>
        </w:rPr>
        <w:t>如果是分数打分项，选择分数汇总模式，其余评分项设置同上，</w:t>
      </w:r>
      <w:r>
        <w:rPr>
          <w:rFonts w:hint="eastAsia"/>
          <w:b/>
          <w:bCs/>
        </w:rPr>
        <w:t>要注意的是，设置分数时，</w:t>
      </w:r>
      <w:r>
        <w:rPr>
          <w:rFonts w:hint="eastAsia"/>
          <w:b/>
          <w:bCs/>
          <w:highlight w:val="yellow"/>
        </w:rPr>
        <w:t>大节点的分数要设置为分项汇总之和</w:t>
      </w:r>
      <w:r>
        <w:rPr>
          <w:rFonts w:hint="eastAsia"/>
          <w:b/>
          <w:bCs/>
        </w:rPr>
        <w:t>。</w:t>
      </w:r>
    </w:p>
    <w:p w14:paraId="6A835624">
      <w:pPr>
        <w:pStyle w:val="3"/>
        <w:ind w:firstLine="0" w:firstLineChars="0"/>
      </w:pPr>
      <w:r>
        <w:drawing>
          <wp:inline distT="0" distB="0" distL="114300" distR="114300">
            <wp:extent cx="5274310" cy="2180590"/>
            <wp:effectExtent l="0" t="0" r="13970" b="1397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26012">
      <w:pPr>
        <w:pStyle w:val="4"/>
        <w:numPr>
          <w:ilvl w:val="0"/>
          <w:numId w:val="2"/>
        </w:numPr>
      </w:pPr>
      <w:bookmarkStart w:id="9" w:name="_Toc4358"/>
      <w:r>
        <w:rPr>
          <w:rFonts w:hint="eastAsia"/>
        </w:rPr>
        <w:t>权重设置</w:t>
      </w:r>
      <w:bookmarkEnd w:id="9"/>
    </w:p>
    <w:p w14:paraId="22C1A2E8">
      <w:pPr>
        <w:pStyle w:val="3"/>
        <w:ind w:firstLine="420" w:firstLineChars="0"/>
      </w:pPr>
      <w:r>
        <w:rPr>
          <w:rFonts w:hint="eastAsia"/>
        </w:rPr>
        <w:t>设置该评分项所占权重，点击确定</w:t>
      </w:r>
    </w:p>
    <w:p w14:paraId="6561A807">
      <w:pPr>
        <w:pStyle w:val="3"/>
        <w:ind w:firstLine="0" w:firstLineChars="0"/>
      </w:pPr>
      <w:r>
        <w:drawing>
          <wp:inline distT="0" distB="0" distL="114300" distR="114300">
            <wp:extent cx="5274310" cy="977265"/>
            <wp:effectExtent l="0" t="0" r="13970" b="1333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F840A">
      <w:pPr>
        <w:pStyle w:val="2"/>
      </w:pPr>
      <w:bookmarkStart w:id="10" w:name="_Toc26905"/>
      <w:r>
        <w:rPr>
          <w:rFonts w:hint="eastAsia"/>
        </w:rPr>
        <w:t>投标文件组成</w:t>
      </w:r>
      <w:bookmarkEnd w:id="10"/>
    </w:p>
    <w:p w14:paraId="32A45439">
      <w:pPr>
        <w:pStyle w:val="3"/>
        <w:ind w:firstLine="360"/>
      </w:pPr>
      <w:r>
        <w:rPr>
          <w:rFonts w:hint="eastAsia"/>
        </w:rPr>
        <w:t>点击新增</w:t>
      </w:r>
    </w:p>
    <w:p w14:paraId="582548E8">
      <w:pPr>
        <w:pStyle w:val="3"/>
        <w:ind w:firstLine="0" w:firstLineChars="0"/>
      </w:pPr>
      <w:r>
        <w:drawing>
          <wp:inline distT="0" distB="0" distL="114300" distR="114300">
            <wp:extent cx="5271770" cy="845185"/>
            <wp:effectExtent l="0" t="0" r="1270" b="8255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91D6C">
      <w:pPr>
        <w:pStyle w:val="3"/>
        <w:ind w:firstLine="420" w:firstLineChars="0"/>
      </w:pPr>
      <w:r>
        <w:rPr>
          <w:rFonts w:hint="eastAsia"/>
        </w:rPr>
        <w:t>新增对应评分项的投标文件组成部分</w:t>
      </w:r>
    </w:p>
    <w:p w14:paraId="3442EC49">
      <w:pPr>
        <w:pStyle w:val="3"/>
        <w:ind w:firstLine="420" w:firstLineChars="0"/>
      </w:pPr>
      <w:r>
        <w:rPr>
          <w:rFonts w:hint="eastAsia"/>
        </w:rPr>
        <w:t>如果该评分项为暗标评审，则新增投标文件组成时也需勾选对应的暗标节点</w:t>
      </w:r>
    </w:p>
    <w:p w14:paraId="304E81D1">
      <w:pPr>
        <w:pStyle w:val="3"/>
        <w:ind w:firstLine="0" w:firstLineChars="0"/>
      </w:pPr>
      <w:r>
        <w:drawing>
          <wp:inline distT="0" distB="0" distL="114300" distR="114300">
            <wp:extent cx="5274310" cy="1278255"/>
            <wp:effectExtent l="0" t="0" r="13970" b="190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B414">
      <w:pPr>
        <w:pStyle w:val="3"/>
        <w:ind w:firstLine="420" w:firstLineChars="0"/>
      </w:pPr>
      <w:r>
        <w:rPr>
          <w:rFonts w:hint="eastAsia"/>
        </w:rPr>
        <w:t>如果新增投标组成的时候忘记勾选暗标节点，同样可以在界面上勾选。</w:t>
      </w:r>
    </w:p>
    <w:p w14:paraId="18F5D08C">
      <w:pPr>
        <w:pStyle w:val="3"/>
        <w:ind w:firstLine="0" w:firstLineChars="0"/>
      </w:pPr>
      <w:r>
        <w:drawing>
          <wp:inline distT="0" distB="0" distL="114300" distR="114300">
            <wp:extent cx="5274310" cy="918210"/>
            <wp:effectExtent l="0" t="0" r="13970" b="1143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52441">
      <w:pPr>
        <w:pStyle w:val="3"/>
        <w:ind w:firstLine="0" w:firstLineChars="0"/>
      </w:pPr>
    </w:p>
    <w:p w14:paraId="4019D0B8">
      <w:pPr>
        <w:pStyle w:val="2"/>
      </w:pPr>
      <w:bookmarkStart w:id="11" w:name="_Toc20721"/>
      <w:r>
        <w:rPr>
          <w:rFonts w:hint="eastAsia"/>
        </w:rPr>
        <w:t>注意事项</w:t>
      </w:r>
      <w:bookmarkEnd w:id="11"/>
    </w:p>
    <w:p w14:paraId="48234B3C">
      <w:pPr>
        <w:pStyle w:val="3"/>
        <w:numPr>
          <w:ilvl w:val="0"/>
          <w:numId w:val="3"/>
        </w:numPr>
        <w:ind w:firstLine="0" w:firstLineChars="0"/>
      </w:pPr>
      <w:r>
        <w:rPr>
          <w:rFonts w:hint="eastAsia"/>
        </w:rPr>
        <w:t>如果某一项为暗标评审项，则新增评分项的时候，须勾选暗标节点（经济标暗标评审项/技术标暗标评审项/设计方案暗标评审项），详细页中的明暗标设定也必须勾选暗标，对应的投标文件组成也需勾选对应的节点（经济标暗标/技术标暗标/设计方案暗标）</w:t>
      </w:r>
    </w:p>
    <w:p w14:paraId="14757BE9">
      <w:pPr>
        <w:pStyle w:val="3"/>
        <w:ind w:firstLine="420" w:firstLineChars="0"/>
      </w:pPr>
      <w:r>
        <w:rPr>
          <w:rFonts w:hint="eastAsia"/>
        </w:rPr>
        <w:t>专家在评标的时候，暗标评审项只能看到对应的暗标文件</w:t>
      </w:r>
    </w:p>
    <w:p w14:paraId="7E8E23AC">
      <w:pPr>
        <w:pStyle w:val="3"/>
        <w:ind w:firstLine="420" w:firstLineChars="0"/>
      </w:pPr>
      <w:r>
        <w:rPr>
          <w:rFonts w:hint="eastAsia"/>
        </w:rPr>
        <w:t>简单的说，如果新增评分点的时候，你勾选了暗标组成，但是该部分投标文件没有勾选对应的暗标节点，专家评标的时候，看不到投标文件的。</w:t>
      </w:r>
    </w:p>
    <w:p w14:paraId="48544BC8">
      <w:pPr>
        <w:pStyle w:val="3"/>
        <w:numPr>
          <w:ilvl w:val="0"/>
          <w:numId w:val="3"/>
        </w:numPr>
        <w:ind w:firstLine="0" w:firstLineChars="0"/>
      </w:pPr>
      <w:r>
        <w:rPr>
          <w:rFonts w:hint="eastAsia"/>
        </w:rPr>
        <w:t>详细页中的评审结果、明暗标设定必须选择。</w:t>
      </w:r>
    </w:p>
    <w:p w14:paraId="2AC3915A">
      <w:pPr>
        <w:pStyle w:val="3"/>
        <w:numPr>
          <w:ilvl w:val="0"/>
          <w:numId w:val="3"/>
        </w:numPr>
        <w:ind w:firstLine="0" w:firstLineChars="0"/>
      </w:pPr>
      <w:r>
        <w:rPr>
          <w:rFonts w:hint="eastAsia"/>
        </w:rPr>
        <w:t>权重设置理解。</w:t>
      </w:r>
    </w:p>
    <w:p w14:paraId="67EBCF82">
      <w:pPr>
        <w:pStyle w:val="3"/>
        <w:ind w:firstLine="0" w:firstLineChars="0"/>
      </w:pPr>
      <w:r>
        <w:rPr>
          <w:rFonts w:hint="eastAsia"/>
        </w:rPr>
        <w:t>示例如下图</w:t>
      </w:r>
    </w:p>
    <w:p w14:paraId="79C410B6">
      <w:pPr>
        <w:pStyle w:val="3"/>
        <w:ind w:firstLine="0" w:firstLineChars="0"/>
      </w:pPr>
      <w:r>
        <w:drawing>
          <wp:inline distT="0" distB="0" distL="114300" distR="114300">
            <wp:extent cx="5274310" cy="833755"/>
            <wp:effectExtent l="0" t="0" r="13970" b="444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64513">
      <w:pPr>
        <w:pStyle w:val="3"/>
        <w:ind w:firstLine="420" w:firstLineChars="0"/>
      </w:pPr>
      <w:r>
        <w:rPr>
          <w:rFonts w:hint="eastAsia"/>
        </w:rPr>
        <w:t>图中共有四个打分评审项，各项总分分别是80分、34分、100分、100分。其中80分取16分，则权重设置为20，两个100分分别取20分、30分，则对应权重分别设置20、30，34分的就是取34分，则权重设置为100。</w:t>
      </w:r>
    </w:p>
    <w:p w14:paraId="76C4E969">
      <w:pPr>
        <w:pStyle w:val="3"/>
        <w:ind w:firstLine="420" w:firstLineChars="0"/>
        <w:rPr>
          <w:b/>
          <w:bCs/>
        </w:rPr>
      </w:pPr>
      <w:r>
        <w:rPr>
          <w:rFonts w:hint="eastAsia"/>
          <w:b/>
          <w:bCs/>
        </w:rPr>
        <w:t>如果你的所有打分项合计就是100，则不用设置权重。</w:t>
      </w:r>
    </w:p>
    <w:p w14:paraId="0F66B1FD">
      <w:pPr>
        <w:pStyle w:val="3"/>
        <w:ind w:firstLine="420" w:firstLineChars="0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D43EE">
    <w:pPr>
      <w:widowControl/>
      <w:spacing w:line="320" w:lineRule="atLeast"/>
      <w:jc w:val="left"/>
      <w:textAlignment w:val="baseline"/>
      <w:rPr>
        <w:rFonts w:ascii="宋体" w:hAnsi="宋体" w:cs="宋体"/>
        <w:color w:val="000000"/>
        <w:kern w:val="0"/>
        <w:sz w:val="18"/>
        <w:szCs w:val="18"/>
      </w:rPr>
    </w:pPr>
    <w:r>
      <w:rPr>
        <w:rFonts w:ascii="宋体" w:hAnsi="宋体" w:cs="宋体"/>
        <w:color w:val="000000"/>
        <w:kern w:val="0"/>
        <w:sz w:val="18"/>
        <w:szCs w:val="18"/>
      </w:rPr>
      <w:pict>
        <v:rect id="_x0000_i1025" o:spt="1" style="height:3pt;width:415.3pt;" fillcolor="#70AD47" filled="t" stroked="f" coordsize="21600,21600" o:hr="t" o:hrstd="t" o:hrnoshade="t" o:hralign="center">
          <v:path/>
          <v:fill on="t" focussize="0,0"/>
          <v:stroke on="f"/>
          <v:imagedata o:title=""/>
          <o:lock v:ext="edit"/>
          <w10:wrap type="none"/>
          <w10:anchorlock/>
        </v:rect>
      </w:pict>
    </w:r>
  </w:p>
  <w:p w14:paraId="4BEA21E2">
    <w:pPr>
      <w:widowControl/>
      <w:spacing w:line="320" w:lineRule="atLeast"/>
      <w:jc w:val="left"/>
      <w:textAlignment w:val="baseline"/>
      <w:rPr>
        <w:rFonts w:asciiTheme="minorEastAsia" w:hAnsiTheme="minorEastAsia" w:eastAsiaTheme="minorEastAsia"/>
        <w:sz w:val="18"/>
        <w:szCs w:val="18"/>
      </w:rPr>
    </w:pPr>
    <w:sdt>
      <w:sdtPr>
        <w:rPr>
          <w:rFonts w:asciiTheme="minorEastAsia" w:hAnsiTheme="minorEastAsia" w:eastAsiaTheme="minorEastAsia"/>
          <w:sz w:val="18"/>
          <w:szCs w:val="18"/>
        </w:rPr>
        <w:id w:val="843435250"/>
      </w:sdtPr>
      <w:sdtEndPr>
        <w:rPr>
          <w:rFonts w:asciiTheme="minorEastAsia" w:hAnsiTheme="minorEastAsia" w:eastAsiaTheme="minorEastAsia"/>
          <w:sz w:val="18"/>
          <w:szCs w:val="18"/>
        </w:rPr>
      </w:sdtEndPr>
      <w:sdtContent>
        <w:r>
          <w:rPr>
            <w:rFonts w:asciiTheme="minorEastAsia" w:hAnsiTheme="minorEastAsia" w:eastAsiaTheme="minorEastAsia"/>
            <w:sz w:val="18"/>
            <w:szCs w:val="18"/>
          </w:rPr>
          <w:tab/>
        </w:r>
        <w:r>
          <w:rPr>
            <w:rFonts w:asciiTheme="minorEastAsia" w:hAnsiTheme="minorEastAsia" w:eastAsiaTheme="minorEastAsia"/>
            <w:sz w:val="18"/>
            <w:szCs w:val="18"/>
          </w:rPr>
          <w:tab/>
        </w:r>
        <w:r>
          <w:rPr>
            <w:rFonts w:asciiTheme="minorEastAsia" w:hAnsiTheme="minorEastAsia" w:eastAsiaTheme="minorEastAsia"/>
            <w:sz w:val="18"/>
            <w:szCs w:val="18"/>
          </w:rPr>
          <w:tab/>
        </w:r>
        <w:r>
          <w:rPr>
            <w:rFonts w:asciiTheme="minorEastAsia" w:hAnsiTheme="minorEastAsia" w:eastAsiaTheme="minorEastAsia"/>
            <w:sz w:val="18"/>
            <w:szCs w:val="18"/>
          </w:rPr>
          <w:tab/>
        </w:r>
        <w:r>
          <w:rPr>
            <w:rFonts w:asciiTheme="minorEastAsia" w:hAnsiTheme="minorEastAsia" w:eastAsiaTheme="minorEastAsia"/>
            <w:sz w:val="18"/>
            <w:szCs w:val="18"/>
          </w:rPr>
          <w:tab/>
        </w:r>
        <w:r>
          <w:rPr>
            <w:rFonts w:asciiTheme="minorEastAsia" w:hAnsiTheme="minorEastAsia" w:eastAsiaTheme="minorEastAsia"/>
            <w:sz w:val="18"/>
            <w:szCs w:val="18"/>
          </w:rPr>
          <w:fldChar w:fldCharType="begin"/>
        </w:r>
        <w:r>
          <w:rPr>
            <w:rFonts w:asciiTheme="minorEastAsia" w:hAnsiTheme="minorEastAsia" w:eastAsiaTheme="minorEastAsia"/>
            <w:sz w:val="18"/>
            <w:szCs w:val="1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18"/>
            <w:szCs w:val="18"/>
          </w:rPr>
          <w:fldChar w:fldCharType="separate"/>
        </w:r>
        <w:r>
          <w:rPr>
            <w:rFonts w:asciiTheme="minorEastAsia" w:hAnsiTheme="minorEastAsia" w:eastAsiaTheme="minorEastAsia"/>
            <w:sz w:val="18"/>
            <w:szCs w:val="18"/>
            <w:lang w:val="zh-CN"/>
          </w:rPr>
          <w:t>7</w:t>
        </w:r>
        <w:r>
          <w:rPr>
            <w:rFonts w:asciiTheme="minorEastAsia" w:hAnsiTheme="minorEastAsia" w:eastAsiaTheme="minorEastAsia"/>
            <w:sz w:val="18"/>
            <w:szCs w:val="18"/>
          </w:rPr>
          <w:fldChar w:fldCharType="end"/>
        </w:r>
      </w:sdtContent>
    </w:sdt>
  </w:p>
  <w:p w14:paraId="3E139C6E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67137">
    <w:pPr>
      <w:widowControl/>
      <w:spacing w:line="320" w:lineRule="atLeast"/>
      <w:jc w:val="left"/>
      <w:textAlignment w:val="baseline"/>
      <w:rPr>
        <w:rFonts w:ascii="宋体" w:hAnsi="宋体" w:cs="宋体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20FEBE"/>
    <w:multiLevelType w:val="singleLevel"/>
    <w:tmpl w:val="C720FEB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0000011"/>
    <w:multiLevelType w:val="multilevel"/>
    <w:tmpl w:val="00000011"/>
    <w:lvl w:ilvl="0" w:tentative="0">
      <w:start w:val="1"/>
      <w:numFmt w:val="chineseCountingThousand"/>
      <w:pStyle w:val="2"/>
      <w:lvlText w:val="%1.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isLgl/>
      <w:lvlText w:val="%1.%2."/>
      <w:lvlJc w:val="left"/>
      <w:pPr>
        <w:tabs>
          <w:tab w:val="left" w:pos="567"/>
        </w:tabs>
        <w:ind w:left="567" w:hanging="567"/>
      </w:pPr>
    </w:lvl>
    <w:lvl w:ilvl="2" w:tentative="0">
      <w:start w:val="1"/>
      <w:numFmt w:val="decimal"/>
      <w:isLgl/>
      <w:lvlText w:val="%1.%2.%3."/>
      <w:lvlJc w:val="left"/>
      <w:pPr>
        <w:tabs>
          <w:tab w:val="left" w:pos="709"/>
        </w:tabs>
        <w:ind w:left="709" w:hanging="709"/>
      </w:pPr>
    </w:lvl>
    <w:lvl w:ilvl="3" w:tentative="0">
      <w:start w:val="1"/>
      <w:numFmt w:val="decimal"/>
      <w:isLgl/>
      <w:lvlText w:val="%1.%2.%3.%4."/>
      <w:lvlJc w:val="left"/>
      <w:pPr>
        <w:tabs>
          <w:tab w:val="left" w:pos="851"/>
        </w:tabs>
        <w:snapToGrid w:val="0"/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"/>
        <w:kern w:val="0"/>
        <w:position w:val="0"/>
        <w:szCs w:val="2"/>
        <w:u w:val="none"/>
        <w:vertAlign w:val="baseline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992"/>
        </w:tabs>
        <w:ind w:left="992" w:hanging="992"/>
      </w:p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2">
    <w:nsid w:val="7871ACDD"/>
    <w:multiLevelType w:val="singleLevel"/>
    <w:tmpl w:val="7871ACD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F1"/>
    <w:rsid w:val="000061EC"/>
    <w:rsid w:val="0002032D"/>
    <w:rsid w:val="00021945"/>
    <w:rsid w:val="000309D5"/>
    <w:rsid w:val="00032FAE"/>
    <w:rsid w:val="00060AB9"/>
    <w:rsid w:val="000922F3"/>
    <w:rsid w:val="0009289C"/>
    <w:rsid w:val="00096770"/>
    <w:rsid w:val="000B76FD"/>
    <w:rsid w:val="000C059B"/>
    <w:rsid w:val="000D161A"/>
    <w:rsid w:val="000D6C01"/>
    <w:rsid w:val="000E408D"/>
    <w:rsid w:val="000E5437"/>
    <w:rsid w:val="000E587C"/>
    <w:rsid w:val="000F0ED5"/>
    <w:rsid w:val="000F1820"/>
    <w:rsid w:val="000F6293"/>
    <w:rsid w:val="00100B49"/>
    <w:rsid w:val="00101856"/>
    <w:rsid w:val="00105EA2"/>
    <w:rsid w:val="00110780"/>
    <w:rsid w:val="00114FE1"/>
    <w:rsid w:val="0013424D"/>
    <w:rsid w:val="00150A0A"/>
    <w:rsid w:val="001618E9"/>
    <w:rsid w:val="001649B8"/>
    <w:rsid w:val="0017573B"/>
    <w:rsid w:val="00176D07"/>
    <w:rsid w:val="0018502A"/>
    <w:rsid w:val="001A295E"/>
    <w:rsid w:val="001B1F40"/>
    <w:rsid w:val="001B644D"/>
    <w:rsid w:val="001C016B"/>
    <w:rsid w:val="00201426"/>
    <w:rsid w:val="00220F33"/>
    <w:rsid w:val="002253B3"/>
    <w:rsid w:val="0024208F"/>
    <w:rsid w:val="00245756"/>
    <w:rsid w:val="0025306A"/>
    <w:rsid w:val="002564F3"/>
    <w:rsid w:val="00257684"/>
    <w:rsid w:val="00257E5E"/>
    <w:rsid w:val="00265571"/>
    <w:rsid w:val="002727C0"/>
    <w:rsid w:val="00283A6D"/>
    <w:rsid w:val="002B1877"/>
    <w:rsid w:val="002B5355"/>
    <w:rsid w:val="002B6350"/>
    <w:rsid w:val="002C5BCA"/>
    <w:rsid w:val="002D711F"/>
    <w:rsid w:val="002E31FF"/>
    <w:rsid w:val="002F3679"/>
    <w:rsid w:val="002F465E"/>
    <w:rsid w:val="002F5D01"/>
    <w:rsid w:val="00300B7F"/>
    <w:rsid w:val="00351DC2"/>
    <w:rsid w:val="00356EF1"/>
    <w:rsid w:val="00360F0C"/>
    <w:rsid w:val="003644C4"/>
    <w:rsid w:val="0037209A"/>
    <w:rsid w:val="0037546F"/>
    <w:rsid w:val="0038647E"/>
    <w:rsid w:val="00391312"/>
    <w:rsid w:val="003A10E9"/>
    <w:rsid w:val="003A4090"/>
    <w:rsid w:val="003A7952"/>
    <w:rsid w:val="003E1A81"/>
    <w:rsid w:val="003E3989"/>
    <w:rsid w:val="003E5833"/>
    <w:rsid w:val="003F2CC8"/>
    <w:rsid w:val="00403268"/>
    <w:rsid w:val="00405A7F"/>
    <w:rsid w:val="00413156"/>
    <w:rsid w:val="00417672"/>
    <w:rsid w:val="0042055B"/>
    <w:rsid w:val="004238A6"/>
    <w:rsid w:val="004439E9"/>
    <w:rsid w:val="00446F93"/>
    <w:rsid w:val="0045606A"/>
    <w:rsid w:val="00456C35"/>
    <w:rsid w:val="00460ADA"/>
    <w:rsid w:val="0048085C"/>
    <w:rsid w:val="00483342"/>
    <w:rsid w:val="00491425"/>
    <w:rsid w:val="004A62F4"/>
    <w:rsid w:val="004A7767"/>
    <w:rsid w:val="004B43B0"/>
    <w:rsid w:val="004C0C2B"/>
    <w:rsid w:val="004D5F7A"/>
    <w:rsid w:val="004E1F50"/>
    <w:rsid w:val="004E26F5"/>
    <w:rsid w:val="004E3AD6"/>
    <w:rsid w:val="004E566A"/>
    <w:rsid w:val="004E66B2"/>
    <w:rsid w:val="004E7F4C"/>
    <w:rsid w:val="004F252A"/>
    <w:rsid w:val="004F4F12"/>
    <w:rsid w:val="0050237D"/>
    <w:rsid w:val="0050412E"/>
    <w:rsid w:val="005072FA"/>
    <w:rsid w:val="0051073B"/>
    <w:rsid w:val="00511B78"/>
    <w:rsid w:val="00511E95"/>
    <w:rsid w:val="00515679"/>
    <w:rsid w:val="00525EC2"/>
    <w:rsid w:val="00531FC3"/>
    <w:rsid w:val="00570313"/>
    <w:rsid w:val="005708ED"/>
    <w:rsid w:val="00576DFA"/>
    <w:rsid w:val="005A3140"/>
    <w:rsid w:val="005A6F25"/>
    <w:rsid w:val="005B425E"/>
    <w:rsid w:val="005E30D9"/>
    <w:rsid w:val="005F782D"/>
    <w:rsid w:val="006005A7"/>
    <w:rsid w:val="006029B6"/>
    <w:rsid w:val="0062457E"/>
    <w:rsid w:val="00625FE1"/>
    <w:rsid w:val="006330A1"/>
    <w:rsid w:val="00640514"/>
    <w:rsid w:val="0065357B"/>
    <w:rsid w:val="006540B2"/>
    <w:rsid w:val="00661F13"/>
    <w:rsid w:val="00672905"/>
    <w:rsid w:val="00680533"/>
    <w:rsid w:val="006937DC"/>
    <w:rsid w:val="00694F28"/>
    <w:rsid w:val="006A2AB5"/>
    <w:rsid w:val="006D363F"/>
    <w:rsid w:val="006E1370"/>
    <w:rsid w:val="00722846"/>
    <w:rsid w:val="00726D39"/>
    <w:rsid w:val="007362F1"/>
    <w:rsid w:val="00741383"/>
    <w:rsid w:val="00747E87"/>
    <w:rsid w:val="00752CE3"/>
    <w:rsid w:val="0075501F"/>
    <w:rsid w:val="00764056"/>
    <w:rsid w:val="00764B3A"/>
    <w:rsid w:val="007809C1"/>
    <w:rsid w:val="00782686"/>
    <w:rsid w:val="0079355B"/>
    <w:rsid w:val="007A5EC6"/>
    <w:rsid w:val="007B3CC6"/>
    <w:rsid w:val="007C1247"/>
    <w:rsid w:val="007C15A4"/>
    <w:rsid w:val="007E2061"/>
    <w:rsid w:val="007E641A"/>
    <w:rsid w:val="007F0EFB"/>
    <w:rsid w:val="007F0F76"/>
    <w:rsid w:val="00806859"/>
    <w:rsid w:val="0081373C"/>
    <w:rsid w:val="00827943"/>
    <w:rsid w:val="00842755"/>
    <w:rsid w:val="00853F5C"/>
    <w:rsid w:val="0085748A"/>
    <w:rsid w:val="00873677"/>
    <w:rsid w:val="00881F6D"/>
    <w:rsid w:val="00885159"/>
    <w:rsid w:val="008D017C"/>
    <w:rsid w:val="008D07A1"/>
    <w:rsid w:val="008D44A8"/>
    <w:rsid w:val="008D6FA4"/>
    <w:rsid w:val="008E2F74"/>
    <w:rsid w:val="008E6208"/>
    <w:rsid w:val="00905E5A"/>
    <w:rsid w:val="0092488D"/>
    <w:rsid w:val="00935ABD"/>
    <w:rsid w:val="00937A6C"/>
    <w:rsid w:val="00952055"/>
    <w:rsid w:val="00953838"/>
    <w:rsid w:val="0096539D"/>
    <w:rsid w:val="009720CE"/>
    <w:rsid w:val="00973E64"/>
    <w:rsid w:val="00995053"/>
    <w:rsid w:val="009A5A3A"/>
    <w:rsid w:val="009B68E7"/>
    <w:rsid w:val="009B773A"/>
    <w:rsid w:val="009C17E4"/>
    <w:rsid w:val="009C26EE"/>
    <w:rsid w:val="009C4DA5"/>
    <w:rsid w:val="009E0FAD"/>
    <w:rsid w:val="009E5FA7"/>
    <w:rsid w:val="009F6E23"/>
    <w:rsid w:val="00A37B4B"/>
    <w:rsid w:val="00A64847"/>
    <w:rsid w:val="00A837F4"/>
    <w:rsid w:val="00A85A92"/>
    <w:rsid w:val="00A9596C"/>
    <w:rsid w:val="00AC03E4"/>
    <w:rsid w:val="00AC2BF9"/>
    <w:rsid w:val="00AE1AF9"/>
    <w:rsid w:val="00AF0489"/>
    <w:rsid w:val="00B27998"/>
    <w:rsid w:val="00B27F50"/>
    <w:rsid w:val="00B47D43"/>
    <w:rsid w:val="00B53169"/>
    <w:rsid w:val="00B53671"/>
    <w:rsid w:val="00B5370F"/>
    <w:rsid w:val="00B57AB6"/>
    <w:rsid w:val="00B70135"/>
    <w:rsid w:val="00B7163C"/>
    <w:rsid w:val="00B7233A"/>
    <w:rsid w:val="00B728F4"/>
    <w:rsid w:val="00B84BC6"/>
    <w:rsid w:val="00B866F8"/>
    <w:rsid w:val="00B92FEB"/>
    <w:rsid w:val="00B96746"/>
    <w:rsid w:val="00BB1A12"/>
    <w:rsid w:val="00BB5253"/>
    <w:rsid w:val="00BC003E"/>
    <w:rsid w:val="00BC3EA4"/>
    <w:rsid w:val="00BD4C8D"/>
    <w:rsid w:val="00BF1800"/>
    <w:rsid w:val="00BF6EE3"/>
    <w:rsid w:val="00BF704B"/>
    <w:rsid w:val="00C0376D"/>
    <w:rsid w:val="00C13FF5"/>
    <w:rsid w:val="00C16FCB"/>
    <w:rsid w:val="00C42683"/>
    <w:rsid w:val="00C560B2"/>
    <w:rsid w:val="00C574CE"/>
    <w:rsid w:val="00C6163A"/>
    <w:rsid w:val="00C61823"/>
    <w:rsid w:val="00C647D0"/>
    <w:rsid w:val="00C84A14"/>
    <w:rsid w:val="00C861A4"/>
    <w:rsid w:val="00C86748"/>
    <w:rsid w:val="00C96448"/>
    <w:rsid w:val="00CB3430"/>
    <w:rsid w:val="00CB5D3B"/>
    <w:rsid w:val="00CD037C"/>
    <w:rsid w:val="00CD4195"/>
    <w:rsid w:val="00CD5B06"/>
    <w:rsid w:val="00CE1741"/>
    <w:rsid w:val="00CF059A"/>
    <w:rsid w:val="00D029C7"/>
    <w:rsid w:val="00D14D43"/>
    <w:rsid w:val="00D16D8C"/>
    <w:rsid w:val="00D22467"/>
    <w:rsid w:val="00D44E7E"/>
    <w:rsid w:val="00D50C8B"/>
    <w:rsid w:val="00D67845"/>
    <w:rsid w:val="00D76804"/>
    <w:rsid w:val="00D76AEC"/>
    <w:rsid w:val="00D8239D"/>
    <w:rsid w:val="00D84C30"/>
    <w:rsid w:val="00D8756D"/>
    <w:rsid w:val="00DD5523"/>
    <w:rsid w:val="00DE4CBA"/>
    <w:rsid w:val="00E047A0"/>
    <w:rsid w:val="00E07372"/>
    <w:rsid w:val="00E07FDF"/>
    <w:rsid w:val="00E1083E"/>
    <w:rsid w:val="00E1232A"/>
    <w:rsid w:val="00E2446B"/>
    <w:rsid w:val="00E44C15"/>
    <w:rsid w:val="00E51A3E"/>
    <w:rsid w:val="00E77991"/>
    <w:rsid w:val="00E83092"/>
    <w:rsid w:val="00E9568E"/>
    <w:rsid w:val="00EA4C08"/>
    <w:rsid w:val="00EA556E"/>
    <w:rsid w:val="00EB4696"/>
    <w:rsid w:val="00EB709A"/>
    <w:rsid w:val="00EC1CF1"/>
    <w:rsid w:val="00ED1ADF"/>
    <w:rsid w:val="00ED2707"/>
    <w:rsid w:val="00EE3ED3"/>
    <w:rsid w:val="00EF2BAF"/>
    <w:rsid w:val="00F00642"/>
    <w:rsid w:val="00F116FB"/>
    <w:rsid w:val="00F1690F"/>
    <w:rsid w:val="00F200B6"/>
    <w:rsid w:val="00F464AA"/>
    <w:rsid w:val="00F5448C"/>
    <w:rsid w:val="00F764DD"/>
    <w:rsid w:val="00F87C22"/>
    <w:rsid w:val="00F92F5E"/>
    <w:rsid w:val="00FA1289"/>
    <w:rsid w:val="00FA463A"/>
    <w:rsid w:val="00FA7B48"/>
    <w:rsid w:val="00FB5A7C"/>
    <w:rsid w:val="00FC3BB2"/>
    <w:rsid w:val="00FD14EC"/>
    <w:rsid w:val="00FD5F1C"/>
    <w:rsid w:val="00FE4A66"/>
    <w:rsid w:val="00FF0983"/>
    <w:rsid w:val="00FF49B8"/>
    <w:rsid w:val="00FF6E9C"/>
    <w:rsid w:val="01335339"/>
    <w:rsid w:val="02E22F62"/>
    <w:rsid w:val="03BB542D"/>
    <w:rsid w:val="040B61B3"/>
    <w:rsid w:val="05A01E43"/>
    <w:rsid w:val="05DA0481"/>
    <w:rsid w:val="07216109"/>
    <w:rsid w:val="08AB5431"/>
    <w:rsid w:val="09123DB8"/>
    <w:rsid w:val="09574C04"/>
    <w:rsid w:val="0AA2328C"/>
    <w:rsid w:val="0B64411A"/>
    <w:rsid w:val="0BBB37B9"/>
    <w:rsid w:val="0C942660"/>
    <w:rsid w:val="0CD75850"/>
    <w:rsid w:val="0E7D3249"/>
    <w:rsid w:val="0F763830"/>
    <w:rsid w:val="10D25ABF"/>
    <w:rsid w:val="11433F26"/>
    <w:rsid w:val="120B63F2"/>
    <w:rsid w:val="1257209B"/>
    <w:rsid w:val="14783D17"/>
    <w:rsid w:val="16AE324F"/>
    <w:rsid w:val="16BF2685"/>
    <w:rsid w:val="18C339C6"/>
    <w:rsid w:val="1AB61A64"/>
    <w:rsid w:val="1B623495"/>
    <w:rsid w:val="1CC41605"/>
    <w:rsid w:val="1CE6176E"/>
    <w:rsid w:val="1D5E68E0"/>
    <w:rsid w:val="1F182476"/>
    <w:rsid w:val="1FDE73AF"/>
    <w:rsid w:val="20564F7D"/>
    <w:rsid w:val="21420F70"/>
    <w:rsid w:val="22512464"/>
    <w:rsid w:val="23D22B76"/>
    <w:rsid w:val="24732603"/>
    <w:rsid w:val="2504669C"/>
    <w:rsid w:val="267C68F6"/>
    <w:rsid w:val="270636E0"/>
    <w:rsid w:val="279A47EB"/>
    <w:rsid w:val="27E35B1F"/>
    <w:rsid w:val="28B0443E"/>
    <w:rsid w:val="28E175B4"/>
    <w:rsid w:val="2A3D1B3E"/>
    <w:rsid w:val="2B492D3C"/>
    <w:rsid w:val="2C253780"/>
    <w:rsid w:val="2DA960CB"/>
    <w:rsid w:val="2DB33B27"/>
    <w:rsid w:val="2E136009"/>
    <w:rsid w:val="2E42225D"/>
    <w:rsid w:val="2E520682"/>
    <w:rsid w:val="2EA83021"/>
    <w:rsid w:val="2FB84480"/>
    <w:rsid w:val="2FE70616"/>
    <w:rsid w:val="305116A9"/>
    <w:rsid w:val="31E91747"/>
    <w:rsid w:val="32B22F02"/>
    <w:rsid w:val="32FC2638"/>
    <w:rsid w:val="33084B9C"/>
    <w:rsid w:val="364142DC"/>
    <w:rsid w:val="36FB7422"/>
    <w:rsid w:val="37415B4D"/>
    <w:rsid w:val="38B66A04"/>
    <w:rsid w:val="38C944DB"/>
    <w:rsid w:val="3B1E047E"/>
    <w:rsid w:val="3B68080C"/>
    <w:rsid w:val="3BFE5DC1"/>
    <w:rsid w:val="3C041FA7"/>
    <w:rsid w:val="3F0C0C70"/>
    <w:rsid w:val="413D1A27"/>
    <w:rsid w:val="41A85C23"/>
    <w:rsid w:val="42057207"/>
    <w:rsid w:val="42A26509"/>
    <w:rsid w:val="430605B3"/>
    <w:rsid w:val="43DF11CB"/>
    <w:rsid w:val="443A4B31"/>
    <w:rsid w:val="456D1055"/>
    <w:rsid w:val="46405F86"/>
    <w:rsid w:val="46510169"/>
    <w:rsid w:val="4699202C"/>
    <w:rsid w:val="48606B2E"/>
    <w:rsid w:val="493F3A05"/>
    <w:rsid w:val="4B797B4E"/>
    <w:rsid w:val="4B870ABB"/>
    <w:rsid w:val="4BE81C71"/>
    <w:rsid w:val="4C2576E9"/>
    <w:rsid w:val="4CE04CDB"/>
    <w:rsid w:val="4CEC3E19"/>
    <w:rsid w:val="4D635479"/>
    <w:rsid w:val="4EC46E20"/>
    <w:rsid w:val="514169FA"/>
    <w:rsid w:val="51597C45"/>
    <w:rsid w:val="51A55C3C"/>
    <w:rsid w:val="52D04C59"/>
    <w:rsid w:val="56626E93"/>
    <w:rsid w:val="57EF7378"/>
    <w:rsid w:val="58621DF9"/>
    <w:rsid w:val="59B069AB"/>
    <w:rsid w:val="59B521B6"/>
    <w:rsid w:val="5A182BFD"/>
    <w:rsid w:val="5A5B51D4"/>
    <w:rsid w:val="5B49321D"/>
    <w:rsid w:val="5DBC1BD8"/>
    <w:rsid w:val="5DCF1585"/>
    <w:rsid w:val="5DD90179"/>
    <w:rsid w:val="5F195BE0"/>
    <w:rsid w:val="615574D3"/>
    <w:rsid w:val="617E1A88"/>
    <w:rsid w:val="63B82610"/>
    <w:rsid w:val="65053515"/>
    <w:rsid w:val="65567230"/>
    <w:rsid w:val="657B0571"/>
    <w:rsid w:val="65D46589"/>
    <w:rsid w:val="67B93DAB"/>
    <w:rsid w:val="68486147"/>
    <w:rsid w:val="69072B9A"/>
    <w:rsid w:val="6A5B4709"/>
    <w:rsid w:val="6B095746"/>
    <w:rsid w:val="6B5E1856"/>
    <w:rsid w:val="6D8C0218"/>
    <w:rsid w:val="6D91383C"/>
    <w:rsid w:val="6F751F13"/>
    <w:rsid w:val="707E7CD8"/>
    <w:rsid w:val="7098040E"/>
    <w:rsid w:val="70D03BED"/>
    <w:rsid w:val="70F86B4D"/>
    <w:rsid w:val="7372487C"/>
    <w:rsid w:val="76CF7501"/>
    <w:rsid w:val="79A85DE2"/>
    <w:rsid w:val="79D3065A"/>
    <w:rsid w:val="7C5B6B56"/>
    <w:rsid w:val="7CAA4F58"/>
    <w:rsid w:val="7E234992"/>
    <w:rsid w:val="7EF63BF7"/>
    <w:rsid w:val="7F9C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20"/>
    <w:qFormat/>
    <w:uiPriority w:val="0"/>
    <w:pPr>
      <w:keepNext/>
      <w:keepLines/>
      <w:numPr>
        <w:ilvl w:val="0"/>
        <w:numId w:val="1"/>
      </w:numPr>
      <w:spacing w:before="340" w:after="330" w:line="360" w:lineRule="auto"/>
      <w:outlineLvl w:val="0"/>
    </w:pPr>
    <w:rPr>
      <w:b/>
      <w:bCs/>
      <w:kern w:val="44"/>
      <w:sz w:val="36"/>
      <w:szCs w:val="28"/>
    </w:rPr>
  </w:style>
  <w:style w:type="paragraph" w:styleId="4">
    <w:name w:val="heading 2"/>
    <w:basedOn w:val="1"/>
    <w:next w:val="3"/>
    <w:link w:val="21"/>
    <w:unhideWhenUsed/>
    <w:qFormat/>
    <w:uiPriority w:val="0"/>
    <w:pPr>
      <w:keepNext/>
      <w:keepLines/>
      <w:tabs>
        <w:tab w:val="left" w:pos="567"/>
      </w:tabs>
      <w:spacing w:before="260" w:after="260" w:line="360" w:lineRule="auto"/>
      <w:ind w:left="567" w:hanging="567"/>
      <w:outlineLvl w:val="1"/>
    </w:pPr>
    <w:rPr>
      <w:b/>
      <w:bCs/>
      <w:sz w:val="32"/>
      <w:szCs w:val="32"/>
    </w:rPr>
  </w:style>
  <w:style w:type="paragraph" w:styleId="5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2" w:lineRule="auto"/>
      <w:outlineLvl w:val="2"/>
    </w:pPr>
    <w:rPr>
      <w:b/>
      <w:sz w:val="32"/>
    </w:rPr>
  </w:style>
  <w:style w:type="paragraph" w:styleId="6">
    <w:name w:val="heading 4"/>
    <w:basedOn w:val="1"/>
    <w:next w:val="1"/>
    <w:link w:val="23"/>
    <w:unhideWhenUsed/>
    <w:qFormat/>
    <w:uiPriority w:val="9"/>
    <w:pPr>
      <w:keepNext/>
      <w:keepLines/>
      <w:spacing w:before="280" w:after="290" w:line="374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Indent Normal"/>
    <w:basedOn w:val="1"/>
    <w:qFormat/>
    <w:uiPriority w:val="0"/>
    <w:pPr>
      <w:spacing w:line="360" w:lineRule="auto"/>
      <w:ind w:firstLine="150" w:firstLineChars="150"/>
    </w:pPr>
    <w:rPr>
      <w:sz w:val="24"/>
    </w:rPr>
  </w:style>
  <w:style w:type="paragraph" w:styleId="7">
    <w:name w:val="annotation text"/>
    <w:basedOn w:val="1"/>
    <w:link w:val="30"/>
    <w:semiHidden/>
    <w:unhideWhenUsed/>
    <w:qFormat/>
    <w:uiPriority w:val="99"/>
    <w:pPr>
      <w:jc w:val="left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pPr>
      <w:tabs>
        <w:tab w:val="left" w:pos="420"/>
        <w:tab w:val="right" w:leader="dot" w:pos="8296"/>
      </w:tabs>
    </w:pPr>
  </w:style>
  <w:style w:type="paragraph" w:styleId="13">
    <w:name w:val="toc 4"/>
    <w:basedOn w:val="1"/>
    <w:next w:val="1"/>
    <w:unhideWhenUsed/>
    <w:qFormat/>
    <w:uiPriority w:val="39"/>
    <w:pPr>
      <w:tabs>
        <w:tab w:val="left" w:pos="1845"/>
        <w:tab w:val="right" w:leader="dot" w:pos="8296"/>
      </w:tabs>
      <w:ind w:left="1260" w:leftChars="600"/>
    </w:pPr>
  </w:style>
  <w:style w:type="paragraph" w:styleId="14">
    <w:name w:val="toc 2"/>
    <w:basedOn w:val="1"/>
    <w:next w:val="1"/>
    <w:unhideWhenUsed/>
    <w:qFormat/>
    <w:uiPriority w:val="39"/>
    <w:pPr>
      <w:tabs>
        <w:tab w:val="left" w:pos="840"/>
        <w:tab w:val="right" w:leader="dot" w:pos="8296"/>
      </w:tabs>
      <w:ind w:left="420" w:leftChars="200"/>
    </w:pPr>
  </w:style>
  <w:style w:type="paragraph" w:styleId="15">
    <w:name w:val="annotation subject"/>
    <w:basedOn w:val="7"/>
    <w:next w:val="7"/>
    <w:link w:val="31"/>
    <w:semiHidden/>
    <w:unhideWhenUsed/>
    <w:qFormat/>
    <w:uiPriority w:val="99"/>
    <w:rPr>
      <w:b/>
      <w:bCs/>
    </w:rPr>
  </w:style>
  <w:style w:type="character" w:styleId="18">
    <w:name w:val="Hyperlink"/>
    <w:unhideWhenUsed/>
    <w:qFormat/>
    <w:uiPriority w:val="99"/>
    <w:rPr>
      <w:color w:val="0000FF"/>
      <w:u w:val="single"/>
    </w:rPr>
  </w:style>
  <w:style w:type="character" w:styleId="19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20">
    <w:name w:val="标题 1 字符"/>
    <w:basedOn w:val="17"/>
    <w:link w:val="2"/>
    <w:qFormat/>
    <w:uiPriority w:val="0"/>
    <w:rPr>
      <w:rFonts w:ascii="Times New Roman" w:hAnsi="Times New Roman" w:eastAsia="宋体" w:cs="Times New Roman"/>
      <w:b/>
      <w:bCs/>
      <w:kern w:val="44"/>
      <w:sz w:val="36"/>
      <w:szCs w:val="28"/>
    </w:rPr>
  </w:style>
  <w:style w:type="character" w:customStyle="1" w:styleId="21">
    <w:name w:val="标题 2 字符"/>
    <w:basedOn w:val="17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2">
    <w:name w:val="标题 3 字符"/>
    <w:basedOn w:val="17"/>
    <w:link w:val="5"/>
    <w:qFormat/>
    <w:uiPriority w:val="9"/>
    <w:rPr>
      <w:rFonts w:ascii="Times New Roman" w:hAnsi="Times New Roman" w:eastAsia="宋体" w:cs="Times New Roman"/>
      <w:b/>
      <w:sz w:val="32"/>
      <w:szCs w:val="24"/>
    </w:rPr>
  </w:style>
  <w:style w:type="character" w:customStyle="1" w:styleId="23">
    <w:name w:val="标题 4 字符"/>
    <w:basedOn w:val="17"/>
    <w:link w:val="6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2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5">
    <w:name w:val="GP正文(首行缩进)"/>
    <w:basedOn w:val="1"/>
    <w:qFormat/>
    <w:uiPriority w:val="0"/>
    <w:pPr>
      <w:spacing w:line="360" w:lineRule="auto"/>
      <w:ind w:firstLine="200" w:firstLineChars="200"/>
    </w:pPr>
    <w:rPr>
      <w:sz w:val="24"/>
      <w:szCs w:val="21"/>
    </w:rPr>
  </w:style>
  <w:style w:type="character" w:customStyle="1" w:styleId="26">
    <w:name w:val="node-text2"/>
    <w:qFormat/>
    <w:uiPriority w:val="0"/>
  </w:style>
  <w:style w:type="character" w:customStyle="1" w:styleId="27">
    <w:name w:val="页眉 字符"/>
    <w:basedOn w:val="17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页脚 字符"/>
    <w:basedOn w:val="17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9">
    <w:name w:val="TOC 标题1"/>
    <w:basedOn w:val="2"/>
    <w:next w:val="1"/>
    <w:unhideWhenUsed/>
    <w:qFormat/>
    <w:uiPriority w:val="39"/>
    <w:pPr>
      <w:widowControl/>
      <w:numPr>
        <w:numId w:val="0"/>
      </w:numPr>
      <w:tabs>
        <w:tab w:val="clear" w:pos="425"/>
      </w:tabs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30">
    <w:name w:val="批注文字 字符"/>
    <w:basedOn w:val="17"/>
    <w:link w:val="7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1">
    <w:name w:val="批注主题 字符"/>
    <w:basedOn w:val="30"/>
    <w:link w:val="15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32">
    <w:name w:val="批注框文本 字符"/>
    <w:basedOn w:val="17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numbering" Target="numbering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7350A-B2FF-4E79-B7C2-5D04A74252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1237</Words>
  <Characters>1273</Characters>
  <Lines>13</Lines>
  <Paragraphs>3</Paragraphs>
  <TotalTime>8</TotalTime>
  <ScaleCrop>false</ScaleCrop>
  <LinksUpToDate>false</LinksUpToDate>
  <CharactersWithSpaces>1304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2019-01-17T03:02:00Z</dcterms:created>
  <dc:creator>China</dc:creator>
  <cp:lastModifiedBy>86131</cp:lastModifiedBy>
  <cp:lastPrinted>2019-08-09T09:41:00Z</cp:lastPrinted>
  <dcterms:modified xsi:type="dcterms:W3CDTF">2026-07-24T02:34:18Z</dcterms:modified>
  <cp:revision>277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eyJoZGlkIjoiMTU1NzM4MzgyOTMzMzNmN2ViNzQwNjZkYWUyMTI2NjkiLCJ1c2VySWQiOiI2MzcyNzM4MTAifQ==</vt:lpwstr>
  </property>
  <property fmtid="{D5CDD505-2E9C-101B-9397-08002B2CF9AE}" pid="4" name="ICV">
    <vt:lpwstr>C317F0E26B0D401BB0C84450FC6B7798_12</vt:lpwstr>
  </property>
</Properties>
</file>