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0"/>
        <w:rPr>
          <w:rFonts w:eastAsia="华文新魏"/>
          <w:b/>
          <w:spacing w:val="-70"/>
          <w:sz w:val="72"/>
          <w:szCs w:val="72"/>
        </w:rPr>
      </w:pPr>
    </w:p>
    <w:p>
      <w:pPr>
        <w:ind w:firstLine="0" w:firstLineChars="0"/>
        <w:jc w:val="center"/>
      </w:pPr>
      <w:r>
        <w:drawing>
          <wp:inline distT="0" distB="0" distL="0" distR="0">
            <wp:extent cx="4792345" cy="1028065"/>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1430" cy="1030528"/>
                    </a:xfrm>
                    <a:prstGeom prst="rect">
                      <a:avLst/>
                    </a:prstGeom>
                  </pic:spPr>
                </pic:pic>
              </a:graphicData>
            </a:graphic>
          </wp:inline>
        </w:drawing>
      </w:r>
    </w:p>
    <w:p>
      <w:pPr>
        <w:ind w:firstLine="0" w:firstLineChars="0"/>
      </w:pPr>
    </w:p>
    <w:p>
      <w:pPr>
        <w:ind w:firstLine="0" w:firstLineChars="0"/>
      </w:pPr>
      <w:r>
        <mc:AlternateContent>
          <mc:Choice Requires="wpg">
            <w:drawing>
              <wp:inline distT="0" distB="0" distL="0" distR="0">
                <wp:extent cx="5278120" cy="1590675"/>
                <wp:effectExtent l="0" t="0" r="0" b="9525"/>
                <wp:docPr id="19" name="组合 1026"/>
                <wp:cNvGraphicFramePr/>
                <a:graphic xmlns:a="http://schemas.openxmlformats.org/drawingml/2006/main">
                  <a:graphicData uri="http://schemas.microsoft.com/office/word/2010/wordprocessingGroup">
                    <wpg:wgp>
                      <wpg:cNvGrpSpPr/>
                      <wpg:grpSpPr>
                        <a:xfrm>
                          <a:off x="0" y="0"/>
                          <a:ext cx="5278120" cy="1590675"/>
                          <a:chOff x="0" y="0"/>
                          <a:chExt cx="53263" cy="32823"/>
                        </a:xfrm>
                      </wpg:grpSpPr>
                      <wps:wsp>
                        <wps:cNvPr id="46" name="AutoShape 30"/>
                        <wps:cNvSpPr>
                          <a:spLocks noChangeAspect="1" noChangeArrowheads="1"/>
                        </wps:cNvSpPr>
                        <wps:spPr bwMode="auto">
                          <a:xfrm>
                            <a:off x="0" y="0"/>
                            <a:ext cx="53263" cy="32823"/>
                          </a:xfrm>
                          <a:prstGeom prst="rect">
                            <a:avLst/>
                          </a:prstGeom>
                          <a:noFill/>
                          <a:ln>
                            <a:noFill/>
                          </a:ln>
                        </wps:spPr>
                        <wps:bodyPr rot="0" vert="horz" wrap="square" lIns="91440" tIns="45720" rIns="91440" bIns="45720" anchor="t" anchorCtr="0" upright="1">
                          <a:noAutofit/>
                        </wps:bodyPr>
                      </wps:wsp>
                      <wps:wsp>
                        <wps:cNvPr id="47" name="Text Box 4"/>
                        <wps:cNvSpPr txBox="1">
                          <a:spLocks noChangeArrowheads="1"/>
                        </wps:cNvSpPr>
                        <wps:spPr bwMode="auto">
                          <a:xfrm>
                            <a:off x="95" y="28606"/>
                            <a:ext cx="53168" cy="2616"/>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48" name="Text Box 5"/>
                        <wps:cNvSpPr txBox="1">
                          <a:spLocks noChangeArrowheads="1"/>
                        </wps:cNvSpPr>
                        <wps:spPr bwMode="auto">
                          <a:xfrm>
                            <a:off x="4019" y="6438"/>
                            <a:ext cx="44558" cy="19623"/>
                          </a:xfrm>
                          <a:prstGeom prst="rect">
                            <a:avLst/>
                          </a:prstGeom>
                          <a:noFill/>
                          <a:ln>
                            <a:noFill/>
                          </a:ln>
                        </wps:spPr>
                        <wps:txbx>
                          <w:txbxContent>
                            <w:p>
                              <w:pPr>
                                <w:ind w:firstLine="560"/>
                                <w:jc w:val="center"/>
                                <w:rPr>
                                  <w:rFonts w:ascii="黑体" w:hAnsi="宋体" w:eastAsia="黑体"/>
                                  <w:sz w:val="28"/>
                                  <w:szCs w:val="28"/>
                                </w:rPr>
                              </w:pPr>
                              <w:r>
                                <w:rPr>
                                  <w:rFonts w:hint="eastAsia" w:ascii="黑体" w:hAnsi="宋体" w:eastAsia="黑体"/>
                                  <w:sz w:val="28"/>
                                  <w:szCs w:val="28"/>
                                </w:rPr>
                                <w:t>国泰新点软件股份有限公司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w:t>
                              </w:r>
                              <w:r>
                                <w:rPr>
                                  <w:szCs w:val="21"/>
                                </w:rPr>
                                <w:t>400-998-0000</w:t>
                              </w:r>
                            </w:p>
                          </w:txbxContent>
                        </wps:txbx>
                        <wps:bodyPr rot="0" vert="horz" wrap="square" lIns="0" tIns="0" rIns="0" bIns="0" anchor="t" anchorCtr="0" upright="1">
                          <a:noAutofit/>
                        </wps:bodyPr>
                      </wps:wsp>
                    </wpg:wgp>
                  </a:graphicData>
                </a:graphic>
              </wp:inline>
            </w:drawing>
          </mc:Choice>
          <mc:Fallback>
            <w:pict>
              <v:group id="组合 1026" o:spid="_x0000_s1026" o:spt="203" style="height:125.25pt;width:415.6pt;" coordsize="53263,32823" o:gfxdata="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JtCmazWAAAABQEAAA8AAAAAAAAA&#10;AQAgAAAAIgAAAGRycy9kb3ducmV2LnhtbFBLAQIUABQAAAAIAIdO4kDfWeIv9wIAAIAJAAAOAAAA&#10;AAAAAAEAIAAAACUBAABkcnMvZTJvRG9jLnhtbFBLBQYAAAAABgAGAFkBAACOBgAAAAA=&#10;">
                <o:lock v:ext="edit" aspectratio="f"/>
                <v:rect id="AutoShape 30" o:spid="_x0000_s1026" o:spt="1" style="position:absolute;left:0;top:0;height:32823;width:53263;" filled="f" stroked="f" coordsize="21600,21600" o:gfxdata="UEsDBAoAAAAAAIdO4kAAAAAAAAAAAAAAAAAEAAAAZHJzL1BLAwQUAAAACACHTuJA4ym24r0AAADb&#10;AAAADwAAAGRycy9kb3ducmV2LnhtbEWPQYvCMBSE78L+h/AWvMiaKiJ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bbivQAA&#10;ANsAAAAPAAAAAAAAAAEAIAAAACIAAABkcnMvZG93bnJldi54bWxQSwECFAAUAAAACACHTuJAMy8F&#10;njsAAAA5AAAAEAAAAAAAAAABACAAAAAMAQAAZHJzL3NoYXBleG1sLnhtbFBLBQYAAAAABgAGAFsB&#10;AAC2AwAAAAA=&#10;">
                  <v:fill on="f" focussize="0,0"/>
                  <v:stroke on="f"/>
                  <v:imagedata o:title=""/>
                  <o:lock v:ext="edit" aspectratio="t"/>
                </v:rect>
                <v:shape id="Text Box 4" o:spid="_x0000_s1026" o:spt="202" type="#_x0000_t202" style="position:absolute;left:95;top:28606;height:2616;width:53168;" fillcolor="#C0C0C0" filled="t" stroked="f" coordsize="21600,21600" o:gfxdata="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3Al7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before="120" w:after="120"/>
                        </w:pPr>
                      </w:p>
                    </w:txbxContent>
                  </v:textbox>
                </v:shape>
                <v:shape id="Text Box 5" o:spid="_x0000_s1026" o:spt="202" type="#_x0000_t202" style="position:absolute;left:4019;top:6438;height:19623;width:44558;"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国泰新点软件股份有限公司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w:t>
                        </w:r>
                        <w:r>
                          <w:rPr>
                            <w:szCs w:val="21"/>
                          </w:rPr>
                          <w:t>400-998-0000</w:t>
                        </w:r>
                      </w:p>
                    </w:txbxContent>
                  </v:textbox>
                </v:shape>
                <w10:wrap type="none"/>
                <w10:anchorlock/>
              </v:group>
            </w:pict>
          </mc:Fallback>
        </mc:AlternateContent>
      </w:r>
    </w:p>
    <w:p>
      <w:pPr>
        <w:ind w:firstLine="0" w:firstLineChars="0"/>
      </w:pPr>
    </w:p>
    <w:p>
      <w:pPr>
        <w:pStyle w:val="56"/>
        <w:ind w:firstLine="360"/>
        <w:jc w:val="left"/>
        <w:rPr>
          <w:rFonts w:hint="eastAsia"/>
          <w:b/>
          <w:sz w:val="52"/>
          <w:szCs w:val="52"/>
          <w:lang w:val="en-US" w:eastAsia="zh-CN"/>
        </w:rPr>
      </w:pPr>
      <w:r>
        <w:rPr>
          <w:rFonts w:hint="eastAsia"/>
          <w:b/>
          <w:sz w:val="52"/>
          <w:szCs w:val="52"/>
          <w:lang w:val="en-US" w:eastAsia="zh-CN"/>
        </w:rPr>
        <w:t>塔城地区交易平台招标代理</w:t>
      </w:r>
    </w:p>
    <w:p>
      <w:pPr>
        <w:pStyle w:val="56"/>
        <w:ind w:left="0" w:leftChars="0" w:firstLine="522" w:firstLineChars="100"/>
        <w:jc w:val="left"/>
        <w:rPr>
          <w:rFonts w:hint="default"/>
          <w:lang w:val="en-US"/>
        </w:rPr>
      </w:pPr>
      <w:r>
        <w:rPr>
          <w:rFonts w:hint="eastAsia"/>
          <w:b/>
          <w:sz w:val="52"/>
          <w:szCs w:val="52"/>
          <w:lang w:val="en-US" w:eastAsia="zh-CN"/>
        </w:rPr>
        <w:t>操作手册及常见问题</w:t>
      </w:r>
      <w:bookmarkStart w:id="97" w:name="_GoBack"/>
      <w:bookmarkEnd w:id="97"/>
      <w:r>
        <w:rPr>
          <w:rFonts w:hint="eastAsia"/>
          <w:b/>
          <w:sz w:val="52"/>
          <w:szCs w:val="52"/>
          <w:lang w:val="en-US" w:eastAsia="zh-CN"/>
        </w:rPr>
        <w:t>解答V1.0</w:t>
      </w:r>
    </w:p>
    <w:p>
      <w:pPr>
        <w:pStyle w:val="56"/>
        <w:ind w:firstLine="360"/>
      </w:pPr>
    </w:p>
    <w:p>
      <w:pPr>
        <w:pStyle w:val="56"/>
        <w:ind w:firstLine="360"/>
      </w:pPr>
    </w:p>
    <w:p>
      <w:pPr>
        <w:pStyle w:val="56"/>
        <w:ind w:firstLine="360"/>
      </w:pPr>
    </w:p>
    <w:p>
      <w:pPr>
        <w:pStyle w:val="56"/>
        <w:ind w:firstLine="360"/>
      </w:pPr>
    </w:p>
    <w:p>
      <w:pPr>
        <w:pStyle w:val="56"/>
        <w:ind w:firstLine="0" w:firstLineChars="0"/>
      </w:pPr>
    </w:p>
    <w:p>
      <w:pPr>
        <w:pStyle w:val="56"/>
        <w:ind w:firstLine="0" w:firstLineChars="0"/>
      </w:pPr>
    </w:p>
    <w:p>
      <w:pPr>
        <w:pStyle w:val="56"/>
        <w:ind w:firstLine="0" w:firstLineChars="0"/>
      </w:pPr>
    </w:p>
    <w:p>
      <w:pPr>
        <w:pStyle w:val="56"/>
        <w:ind w:firstLine="0" w:firstLineChars="0"/>
      </w:pPr>
    </w:p>
    <w:p>
      <w:pPr>
        <w:pStyle w:val="56"/>
        <w:ind w:firstLine="0" w:firstLineChars="0"/>
      </w:pPr>
    </w:p>
    <w:p>
      <w:pPr>
        <w:pStyle w:val="56"/>
        <w:ind w:firstLine="0" w:firstLineChars="0"/>
      </w:pPr>
    </w:p>
    <w:p>
      <w:pPr>
        <w:pStyle w:val="56"/>
        <w:ind w:firstLine="0" w:firstLineChars="0"/>
      </w:pPr>
    </w:p>
    <w:p>
      <w:pPr>
        <w:ind w:firstLine="0" w:firstLineChars="0"/>
        <w:jc w:val="center"/>
        <w:rPr>
          <w:b/>
          <w:spacing w:val="200"/>
          <w:sz w:val="32"/>
        </w:rPr>
      </w:pPr>
      <w:r>
        <w:rPr>
          <w:rFonts w:hint="eastAsia"/>
          <w:b/>
          <w:spacing w:val="200"/>
          <w:sz w:val="32"/>
        </w:rPr>
        <w:t>目录</w:t>
      </w:r>
    </w:p>
    <w:p>
      <w:pPr>
        <w:pStyle w:val="28"/>
        <w:tabs>
          <w:tab w:val="right" w:leader="dot" w:pos="8312"/>
        </w:tabs>
      </w:pPr>
      <w:r>
        <w:rPr>
          <w:rFonts w:ascii="Calibri" w:hAnsi="Calibri"/>
        </w:rPr>
        <w:fldChar w:fldCharType="begin"/>
      </w:r>
      <w:r>
        <w:rPr>
          <w:rFonts w:ascii="Calibri" w:hAnsi="Calibri"/>
        </w:rPr>
        <w:instrText xml:space="preserve"> TOC \o "4-5" \h \z \t "标题 1,1,标题 2,2,标题 3,3"</w:instrText>
      </w:r>
      <w:r>
        <w:rPr>
          <w:rFonts w:ascii="Calibri" w:hAnsi="Calibri"/>
        </w:rPr>
        <w:fldChar w:fldCharType="separate"/>
      </w:r>
      <w:r>
        <w:rPr>
          <w:rFonts w:ascii="Calibri" w:hAnsi="Calibri"/>
        </w:rPr>
        <w:fldChar w:fldCharType="begin"/>
      </w:r>
      <w:r>
        <w:rPr>
          <w:rFonts w:ascii="Calibri" w:hAnsi="Calibri"/>
        </w:rPr>
        <w:instrText xml:space="preserve"> HYPERLINK \l _Toc29911 </w:instrText>
      </w:r>
      <w:r>
        <w:rPr>
          <w:rFonts w:ascii="Calibri" w:hAnsi="Calibri"/>
        </w:rPr>
        <w:fldChar w:fldCharType="separate"/>
      </w:r>
      <w:r>
        <w:rPr>
          <w:rFonts w:hint="eastAsia"/>
          <w:lang w:val="en-US"/>
        </w:rPr>
        <w:t xml:space="preserve">一、 </w:t>
      </w:r>
      <w:r>
        <w:t>系统前期准备</w:t>
      </w:r>
      <w:r>
        <w:tab/>
      </w:r>
      <w:r>
        <w:fldChar w:fldCharType="begin"/>
      </w:r>
      <w:r>
        <w:instrText xml:space="preserve"> PAGEREF _Toc29911 \h </w:instrText>
      </w:r>
      <w:r>
        <w:fldChar w:fldCharType="separate"/>
      </w:r>
      <w:r>
        <w:t>1</w:t>
      </w:r>
      <w:r>
        <w:fldChar w:fldCharType="end"/>
      </w:r>
      <w:r>
        <w:rPr>
          <w:rFonts w:ascii="Calibri" w:hAnsi="Calibri"/>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_Toc17923 </w:instrText>
      </w:r>
      <w:r>
        <w:rPr>
          <w:rFonts w:ascii="Calibri" w:hAnsi="Calibri" w:cs="Calibri"/>
          <w:szCs w:val="20"/>
        </w:rPr>
        <w:fldChar w:fldCharType="separate"/>
      </w:r>
      <w:r>
        <w:rPr>
          <w:rFonts w:hint="default" w:ascii="Times New Roman" w:hAnsi="Times New Roman" w:cs="Times New Roman"/>
          <w:szCs w:val="30"/>
        </w:rPr>
        <w:t xml:space="preserve">1.1、 </w:t>
      </w:r>
      <w:r>
        <w:t>浏览器</w:t>
      </w:r>
      <w:r>
        <w:rPr>
          <w:rFonts w:hint="eastAsia"/>
          <w:lang w:val="en-US" w:eastAsia="zh-CN"/>
        </w:rPr>
        <w:t>环境设置</w:t>
      </w:r>
      <w:r>
        <w:tab/>
      </w:r>
      <w:r>
        <w:fldChar w:fldCharType="begin"/>
      </w:r>
      <w:r>
        <w:instrText xml:space="preserve"> PAGEREF _Toc17923 \h </w:instrText>
      </w:r>
      <w:r>
        <w:fldChar w:fldCharType="separate"/>
      </w:r>
      <w:r>
        <w:t>1</w:t>
      </w:r>
      <w:r>
        <w:fldChar w:fldCharType="end"/>
      </w:r>
      <w:r>
        <w:rPr>
          <w:rFonts w:ascii="Calibri" w:hAnsi="Calibri" w:cs="Calibri"/>
          <w:szCs w:val="20"/>
        </w:rPr>
        <w:fldChar w:fldCharType="end"/>
      </w:r>
    </w:p>
    <w:p>
      <w:pPr>
        <w:pStyle w:val="28"/>
        <w:tabs>
          <w:tab w:val="right" w:leader="dot" w:pos="8312"/>
        </w:tabs>
      </w:pPr>
      <w:r>
        <w:rPr>
          <w:rFonts w:ascii="Calibri" w:hAnsi="Calibri" w:cs="Calibri"/>
          <w:szCs w:val="20"/>
        </w:rPr>
        <w:fldChar w:fldCharType="begin"/>
      </w:r>
      <w:r>
        <w:rPr>
          <w:rFonts w:ascii="Calibri" w:hAnsi="Calibri" w:cs="Calibri"/>
          <w:szCs w:val="20"/>
        </w:rPr>
        <w:instrText xml:space="preserve"> HYPERLINK \l _Toc21117 </w:instrText>
      </w:r>
      <w:r>
        <w:rPr>
          <w:rFonts w:ascii="Calibri" w:hAnsi="Calibri" w:cs="Calibri"/>
          <w:szCs w:val="20"/>
        </w:rPr>
        <w:fldChar w:fldCharType="separate"/>
      </w:r>
      <w:r>
        <w:rPr>
          <w:rFonts w:hint="eastAsia"/>
          <w:lang w:val="en-US"/>
        </w:rPr>
        <w:t xml:space="preserve">二、 </w:t>
      </w:r>
      <w:r>
        <w:rPr>
          <w:rFonts w:hint="eastAsia"/>
          <w:lang w:val="en-US" w:eastAsia="zh-CN"/>
        </w:rPr>
        <w:t>塔城地区</w:t>
      </w:r>
      <w:r>
        <w:rPr>
          <w:rFonts w:hint="eastAsia"/>
        </w:rPr>
        <w:t>公共资源平台注册以及登录</w:t>
      </w:r>
      <w:r>
        <w:tab/>
      </w:r>
      <w:r>
        <w:fldChar w:fldCharType="begin"/>
      </w:r>
      <w:r>
        <w:instrText xml:space="preserve"> PAGEREF _Toc21117 \h </w:instrText>
      </w:r>
      <w:r>
        <w:fldChar w:fldCharType="separate"/>
      </w:r>
      <w:r>
        <w:t>1</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_Toc2818 </w:instrText>
      </w:r>
      <w:r>
        <w:rPr>
          <w:rFonts w:ascii="Calibri" w:hAnsi="Calibri" w:cs="Calibri"/>
          <w:szCs w:val="20"/>
        </w:rPr>
        <w:fldChar w:fldCharType="separate"/>
      </w:r>
      <w:r>
        <w:rPr>
          <w:rFonts w:hint="default" w:ascii="Times New Roman" w:hAnsi="Times New Roman" w:cs="Times New Roman"/>
          <w:szCs w:val="30"/>
        </w:rPr>
        <w:t xml:space="preserve">2.1、 </w:t>
      </w:r>
      <w:r>
        <w:rPr>
          <w:rFonts w:hint="eastAsia"/>
          <w:lang w:val="en-US" w:eastAsia="zh-CN"/>
        </w:rPr>
        <w:t>企业信息注册入库</w:t>
      </w:r>
      <w:r>
        <w:tab/>
      </w:r>
      <w:r>
        <w:fldChar w:fldCharType="begin"/>
      </w:r>
      <w:r>
        <w:instrText xml:space="preserve"> PAGEREF _Toc2818 \h </w:instrText>
      </w:r>
      <w:r>
        <w:fldChar w:fldCharType="separate"/>
      </w:r>
      <w:r>
        <w:t>1</w:t>
      </w:r>
      <w:r>
        <w:fldChar w:fldCharType="end"/>
      </w:r>
      <w:r>
        <w:rPr>
          <w:rFonts w:ascii="Calibri" w:hAnsi="Calibri" w:cs="Calibri"/>
          <w:szCs w:val="20"/>
        </w:rPr>
        <w:fldChar w:fldCharType="end"/>
      </w:r>
    </w:p>
    <w:p>
      <w:pPr>
        <w:pStyle w:val="28"/>
        <w:tabs>
          <w:tab w:val="right" w:leader="dot" w:pos="8312"/>
        </w:tabs>
      </w:pPr>
      <w:r>
        <w:rPr>
          <w:rFonts w:ascii="Calibri" w:hAnsi="Calibri" w:cs="Calibri"/>
          <w:szCs w:val="20"/>
        </w:rPr>
        <w:fldChar w:fldCharType="begin"/>
      </w:r>
      <w:r>
        <w:rPr>
          <w:rFonts w:ascii="Calibri" w:hAnsi="Calibri" w:cs="Calibri"/>
          <w:szCs w:val="20"/>
        </w:rPr>
        <w:instrText xml:space="preserve"> HYPERLINK \l _Toc28105 </w:instrText>
      </w:r>
      <w:r>
        <w:rPr>
          <w:rFonts w:ascii="Calibri" w:hAnsi="Calibri" w:cs="Calibri"/>
          <w:szCs w:val="20"/>
        </w:rPr>
        <w:fldChar w:fldCharType="separate"/>
      </w:r>
      <w:r>
        <w:rPr>
          <w:rFonts w:hint="eastAsia"/>
          <w:lang w:val="en-US" w:eastAsia="zh-CN"/>
        </w:rPr>
        <w:t>三、 招标代理业务操作</w:t>
      </w:r>
      <w:r>
        <w:tab/>
      </w:r>
      <w:r>
        <w:fldChar w:fldCharType="begin"/>
      </w:r>
      <w:r>
        <w:instrText xml:space="preserve"> PAGEREF _Toc28105 \h </w:instrText>
      </w:r>
      <w:r>
        <w:fldChar w:fldCharType="separate"/>
      </w:r>
      <w:r>
        <w:t>1</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_Toc28133 </w:instrText>
      </w:r>
      <w:r>
        <w:rPr>
          <w:rFonts w:ascii="Calibri" w:hAnsi="Calibri" w:cs="Calibri"/>
          <w:szCs w:val="20"/>
        </w:rPr>
        <w:fldChar w:fldCharType="separate"/>
      </w:r>
      <w:r>
        <w:rPr>
          <w:rFonts w:hint="default" w:ascii="Times New Roman" w:hAnsi="Times New Roman" w:cs="Times New Roman"/>
          <w:szCs w:val="30"/>
          <w:lang w:val="en-US" w:eastAsia="zh-CN"/>
        </w:rPr>
        <w:t xml:space="preserve">3.1、 </w:t>
      </w:r>
      <w:r>
        <w:rPr>
          <w:rFonts w:hint="eastAsia"/>
          <w:lang w:val="en-US" w:eastAsia="zh-CN"/>
        </w:rPr>
        <w:t>房建市政类</w:t>
      </w:r>
      <w:r>
        <w:tab/>
      </w:r>
      <w:r>
        <w:fldChar w:fldCharType="begin"/>
      </w:r>
      <w:r>
        <w:instrText xml:space="preserve"> PAGEREF _Toc28133 \h </w:instrText>
      </w:r>
      <w:r>
        <w:fldChar w:fldCharType="separate"/>
      </w:r>
      <w:r>
        <w:t>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_Toc19433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 </w:t>
      </w:r>
      <w:r>
        <w:rPr>
          <w:rFonts w:hint="eastAsia"/>
          <w:lang w:val="en-US" w:eastAsia="zh-CN"/>
        </w:rPr>
        <w:t>建设云项目同步</w:t>
      </w:r>
      <w:r>
        <w:tab/>
      </w:r>
      <w:r>
        <w:fldChar w:fldCharType="begin"/>
      </w:r>
      <w:r>
        <w:instrText xml:space="preserve"> PAGEREF _Toc19433 \h </w:instrText>
      </w:r>
      <w:r>
        <w:fldChar w:fldCharType="separate"/>
      </w:r>
      <w:r>
        <w:t>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_Toc20416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3.1.2、 </w:t>
      </w:r>
      <w:r>
        <w:rPr>
          <w:rFonts w:hint="eastAsia"/>
          <w:lang w:val="en-US" w:eastAsia="zh-CN"/>
        </w:rPr>
        <w:t>项目注册</w:t>
      </w:r>
      <w:r>
        <w:tab/>
      </w:r>
      <w:r>
        <w:fldChar w:fldCharType="begin"/>
      </w:r>
      <w:r>
        <w:instrText xml:space="preserve"> PAGEREF _Toc20416 \h </w:instrText>
      </w:r>
      <w:r>
        <w:fldChar w:fldCharType="separate"/>
      </w:r>
      <w:r>
        <w:t>2</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_Toc32705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3.1.3、 </w:t>
      </w:r>
      <w:r>
        <w:rPr>
          <w:rFonts w:hint="eastAsia"/>
          <w:lang w:val="en-US" w:eastAsia="zh-CN"/>
        </w:rPr>
        <w:t>招标项目</w:t>
      </w:r>
      <w:r>
        <w:tab/>
      </w:r>
      <w:r>
        <w:fldChar w:fldCharType="begin"/>
      </w:r>
      <w:r>
        <w:instrText xml:space="preserve"> PAGEREF _Toc32705 \h </w:instrText>
      </w:r>
      <w:r>
        <w:fldChar w:fldCharType="separate"/>
      </w:r>
      <w:r>
        <w:t>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_Toc15776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3.1.4、 </w:t>
      </w:r>
      <w:r>
        <w:rPr>
          <w:rFonts w:hint="eastAsia"/>
          <w:lang w:val="en-US" w:eastAsia="zh-CN"/>
        </w:rPr>
        <w:t>开评标场地预约</w:t>
      </w:r>
      <w:r>
        <w:tab/>
      </w:r>
      <w:r>
        <w:fldChar w:fldCharType="begin"/>
      </w:r>
      <w:r>
        <w:instrText xml:space="preserve"> PAGEREF _Toc15776 \h </w:instrText>
      </w:r>
      <w:r>
        <w:fldChar w:fldCharType="separate"/>
      </w:r>
      <w:r>
        <w:t>5</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_Toc22803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3.1.5、 </w:t>
      </w:r>
      <w:r>
        <w:rPr>
          <w:rFonts w:hint="eastAsia"/>
          <w:lang w:val="en-US" w:eastAsia="zh-CN"/>
        </w:rPr>
        <w:t>开评标场地变更</w:t>
      </w:r>
      <w:r>
        <w:tab/>
      </w:r>
      <w:r>
        <w:fldChar w:fldCharType="begin"/>
      </w:r>
      <w:r>
        <w:instrText xml:space="preserve"> PAGEREF _Toc22803 \h </w:instrText>
      </w:r>
      <w:r>
        <w:fldChar w:fldCharType="separate"/>
      </w:r>
      <w:r>
        <w:t>7</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_Toc2938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3.1.6、 </w:t>
      </w:r>
      <w:r>
        <w:rPr>
          <w:rFonts w:hint="eastAsia"/>
          <w:lang w:val="en-US" w:eastAsia="zh-CN"/>
        </w:rPr>
        <w:t>开评标场地取消</w:t>
      </w:r>
      <w:r>
        <w:tab/>
      </w:r>
      <w:r>
        <w:fldChar w:fldCharType="begin"/>
      </w:r>
      <w:r>
        <w:instrText xml:space="preserve"> PAGEREF _Toc2938 \h </w:instrText>
      </w:r>
      <w:r>
        <w:fldChar w:fldCharType="separate"/>
      </w:r>
      <w:r>
        <w:t>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_Toc6710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3.1.7、 </w:t>
      </w:r>
      <w:r>
        <w:rPr>
          <w:rFonts w:hint="eastAsia"/>
          <w:lang w:val="en-US" w:eastAsia="zh-CN"/>
        </w:rPr>
        <w:t>招标公告</w:t>
      </w:r>
      <w:r>
        <w:tab/>
      </w:r>
      <w:r>
        <w:fldChar w:fldCharType="begin"/>
      </w:r>
      <w:r>
        <w:instrText xml:space="preserve"> PAGEREF _Toc6710 \h </w:instrText>
      </w:r>
      <w:r>
        <w:fldChar w:fldCharType="separate"/>
      </w:r>
      <w:r>
        <w:t>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_Toc8091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3.1.8、 </w:t>
      </w:r>
      <w:r>
        <w:rPr>
          <w:rFonts w:hint="eastAsia"/>
          <w:lang w:val="en-US" w:eastAsia="zh-CN"/>
        </w:rPr>
        <w:t>变更公告</w:t>
      </w:r>
      <w:r>
        <w:tab/>
      </w:r>
      <w:r>
        <w:fldChar w:fldCharType="begin"/>
      </w:r>
      <w:r>
        <w:instrText xml:space="preserve"> PAGEREF _Toc8091 \h </w:instrText>
      </w:r>
      <w:r>
        <w:fldChar w:fldCharType="separate"/>
      </w:r>
      <w:r>
        <w:t>11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_Toc20560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3.1.9、 </w:t>
      </w:r>
      <w:r>
        <w:rPr>
          <w:rFonts w:hint="eastAsia"/>
          <w:lang w:val="en-US" w:eastAsia="zh-CN"/>
        </w:rPr>
        <w:t>招标文件</w:t>
      </w:r>
      <w:r>
        <w:tab/>
      </w:r>
      <w:r>
        <w:fldChar w:fldCharType="begin"/>
      </w:r>
      <w:r>
        <w:instrText xml:space="preserve"> PAGEREF _Toc20560 \h </w:instrText>
      </w:r>
      <w:r>
        <w:fldChar w:fldCharType="separate"/>
      </w:r>
      <w:r>
        <w:t>12</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_Toc14967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3.1.10、 </w:t>
      </w:r>
      <w:r>
        <w:rPr>
          <w:rFonts w:hint="eastAsia"/>
          <w:lang w:val="en-US" w:eastAsia="zh-CN"/>
        </w:rPr>
        <w:t>答疑澄清文件</w:t>
      </w:r>
      <w:r>
        <w:tab/>
      </w:r>
      <w:r>
        <w:fldChar w:fldCharType="begin"/>
      </w:r>
      <w:r>
        <w:instrText xml:space="preserve"> PAGEREF _Toc14967 \h </w:instrText>
      </w:r>
      <w:r>
        <w:fldChar w:fldCharType="separate"/>
      </w:r>
      <w:r>
        <w:t>18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_Toc2653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3.1.11、 </w:t>
      </w:r>
      <w:r>
        <w:rPr>
          <w:rFonts w:hint="eastAsia"/>
          <w:lang w:val="en-US" w:eastAsia="zh-CN"/>
        </w:rPr>
        <w:t>招标控制价文件</w:t>
      </w:r>
      <w:r>
        <w:tab/>
      </w:r>
      <w:r>
        <w:fldChar w:fldCharType="begin"/>
      </w:r>
      <w:r>
        <w:instrText xml:space="preserve"> PAGEREF _Toc2653 \h </w:instrText>
      </w:r>
      <w:r>
        <w:fldChar w:fldCharType="separate"/>
      </w:r>
      <w:r>
        <w:t>19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_Toc9737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3.1.12、 </w:t>
      </w:r>
      <w:r>
        <w:rPr>
          <w:rFonts w:hint="eastAsia"/>
          <w:lang w:val="en-US" w:eastAsia="zh-CN"/>
        </w:rPr>
        <w:t>组建评标委员会</w:t>
      </w:r>
      <w:r>
        <w:tab/>
      </w:r>
      <w:r>
        <w:fldChar w:fldCharType="begin"/>
      </w:r>
      <w:r>
        <w:instrText xml:space="preserve"> PAGEREF _Toc9737 \h </w:instrText>
      </w:r>
      <w:r>
        <w:fldChar w:fldCharType="separate"/>
      </w:r>
      <w:r>
        <w:t>20</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_Toc19864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3.1.13、 </w:t>
      </w:r>
      <w:r>
        <w:rPr>
          <w:rFonts w:hint="eastAsia"/>
          <w:lang w:val="en-US" w:eastAsia="zh-CN"/>
        </w:rPr>
        <w:t>书面报告备案</w:t>
      </w:r>
      <w:r>
        <w:tab/>
      </w:r>
      <w:r>
        <w:fldChar w:fldCharType="begin"/>
      </w:r>
      <w:r>
        <w:instrText xml:space="preserve"> PAGEREF _Toc19864 \h </w:instrText>
      </w:r>
      <w:r>
        <w:fldChar w:fldCharType="separate"/>
      </w:r>
      <w:r>
        <w:t>22</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_Toc20774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3.1.14、 </w:t>
      </w:r>
      <w:r>
        <w:rPr>
          <w:rFonts w:hint="eastAsia"/>
          <w:lang w:val="en-US" w:eastAsia="zh-CN"/>
        </w:rPr>
        <w:t>中标候选人公示</w:t>
      </w:r>
      <w:r>
        <w:tab/>
      </w:r>
      <w:r>
        <w:fldChar w:fldCharType="begin"/>
      </w:r>
      <w:r>
        <w:instrText xml:space="preserve"> PAGEREF _Toc20774 \h </w:instrText>
      </w:r>
      <w:r>
        <w:fldChar w:fldCharType="separate"/>
      </w:r>
      <w:r>
        <w:t>24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_Toc23035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3.1.15、 </w:t>
      </w:r>
      <w:r>
        <w:rPr>
          <w:rFonts w:hint="eastAsia"/>
          <w:lang w:val="en-US" w:eastAsia="zh-CN"/>
        </w:rPr>
        <w:t>中标结果公告</w:t>
      </w:r>
      <w:r>
        <w:tab/>
      </w:r>
      <w:r>
        <w:fldChar w:fldCharType="begin"/>
      </w:r>
      <w:r>
        <w:instrText xml:space="preserve"> PAGEREF _Toc23035 \h </w:instrText>
      </w:r>
      <w:r>
        <w:fldChar w:fldCharType="separate"/>
      </w:r>
      <w:r>
        <w:t>25</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_Toc15982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3.1.16、 </w:t>
      </w:r>
      <w:r>
        <w:rPr>
          <w:rFonts w:hint="eastAsia"/>
          <w:lang w:val="en-US" w:eastAsia="zh-CN"/>
        </w:rPr>
        <w:t>中标通知书</w:t>
      </w:r>
      <w:r>
        <w:tab/>
      </w:r>
      <w:r>
        <w:fldChar w:fldCharType="begin"/>
      </w:r>
      <w:r>
        <w:instrText xml:space="preserve"> PAGEREF _Toc15982 \h </w:instrText>
      </w:r>
      <w:r>
        <w:fldChar w:fldCharType="separate"/>
      </w:r>
      <w:r>
        <w:t>26</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_Toc10226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3.1.17、 </w:t>
      </w:r>
      <w:r>
        <w:rPr>
          <w:rFonts w:hint="eastAsia"/>
          <w:lang w:val="en-US" w:eastAsia="zh-CN"/>
        </w:rPr>
        <w:t>招标异常</w:t>
      </w:r>
      <w:r>
        <w:tab/>
      </w:r>
      <w:r>
        <w:fldChar w:fldCharType="begin"/>
      </w:r>
      <w:r>
        <w:instrText xml:space="preserve"> PAGEREF _Toc10226 \h </w:instrText>
      </w:r>
      <w:r>
        <w:fldChar w:fldCharType="separate"/>
      </w:r>
      <w:r>
        <w:t>27</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_Toc11200 </w:instrText>
      </w:r>
      <w:r>
        <w:rPr>
          <w:rFonts w:ascii="Calibri" w:hAnsi="Calibri" w:cs="Calibri"/>
          <w:szCs w:val="20"/>
        </w:rPr>
        <w:fldChar w:fldCharType="separate"/>
      </w:r>
      <w:r>
        <w:rPr>
          <w:rFonts w:hint="default" w:ascii="Times New Roman" w:hAnsi="Times New Roman" w:cs="Times New Roman"/>
          <w:szCs w:val="30"/>
          <w:lang w:val="en-US" w:eastAsia="zh-CN"/>
        </w:rPr>
        <w:t xml:space="preserve">3.2、 </w:t>
      </w:r>
      <w:r>
        <w:rPr>
          <w:rFonts w:hint="eastAsia"/>
          <w:lang w:val="en-US" w:eastAsia="zh-CN"/>
        </w:rPr>
        <w:t>水利及农业农村类</w:t>
      </w:r>
      <w:r>
        <w:tab/>
      </w:r>
      <w:r>
        <w:fldChar w:fldCharType="begin"/>
      </w:r>
      <w:r>
        <w:instrText xml:space="preserve"> PAGEREF _Toc11200 \h </w:instrText>
      </w:r>
      <w:r>
        <w:fldChar w:fldCharType="separate"/>
      </w:r>
      <w:r>
        <w:t>28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_Toc4216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 </w:t>
      </w:r>
      <w:r>
        <w:rPr>
          <w:rFonts w:hint="eastAsia"/>
          <w:lang w:val="en-US" w:eastAsia="zh-CN"/>
        </w:rPr>
        <w:t>项目注册</w:t>
      </w:r>
      <w:r>
        <w:tab/>
      </w:r>
      <w:r>
        <w:fldChar w:fldCharType="begin"/>
      </w:r>
      <w:r>
        <w:instrText xml:space="preserve"> PAGEREF _Toc4216 \h </w:instrText>
      </w:r>
      <w:r>
        <w:fldChar w:fldCharType="separate"/>
      </w:r>
      <w:r>
        <w:t>28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_Toc15966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3.2.2、 </w:t>
      </w:r>
      <w:r>
        <w:rPr>
          <w:rFonts w:hint="eastAsia"/>
          <w:lang w:val="en-US" w:eastAsia="zh-CN"/>
        </w:rPr>
        <w:t>招标项目</w:t>
      </w:r>
      <w:r>
        <w:tab/>
      </w:r>
      <w:r>
        <w:fldChar w:fldCharType="begin"/>
      </w:r>
      <w:r>
        <w:instrText xml:space="preserve"> PAGEREF _Toc15966 \h </w:instrText>
      </w:r>
      <w:r>
        <w:fldChar w:fldCharType="separate"/>
      </w:r>
      <w:r>
        <w:t>30</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_Toc23341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3.2.3、 </w:t>
      </w:r>
      <w:r>
        <w:rPr>
          <w:rFonts w:hint="eastAsia"/>
          <w:lang w:val="en-US" w:eastAsia="zh-CN"/>
        </w:rPr>
        <w:t>招标委托合同</w:t>
      </w:r>
      <w:r>
        <w:tab/>
      </w:r>
      <w:r>
        <w:fldChar w:fldCharType="begin"/>
      </w:r>
      <w:r>
        <w:instrText xml:space="preserve"> PAGEREF _Toc23341 \h </w:instrText>
      </w:r>
      <w:r>
        <w:fldChar w:fldCharType="separate"/>
      </w:r>
      <w:r>
        <w:t>31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_Toc8488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3.2.4、 </w:t>
      </w:r>
      <w:r>
        <w:rPr>
          <w:rFonts w:hint="eastAsia"/>
          <w:lang w:val="en-US" w:eastAsia="zh-CN"/>
        </w:rPr>
        <w:t>招标项目计划</w:t>
      </w:r>
      <w:r>
        <w:tab/>
      </w:r>
      <w:r>
        <w:fldChar w:fldCharType="begin"/>
      </w:r>
      <w:r>
        <w:instrText xml:space="preserve"> PAGEREF _Toc8488 \h </w:instrText>
      </w:r>
      <w:r>
        <w:fldChar w:fldCharType="separate"/>
      </w:r>
      <w:r>
        <w:t>32</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_Toc2612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3.2.5、 </w:t>
      </w:r>
      <w:r>
        <w:rPr>
          <w:rFonts w:hint="eastAsia"/>
          <w:lang w:val="en-US" w:eastAsia="zh-CN"/>
        </w:rPr>
        <w:t>招标项目申请</w:t>
      </w:r>
      <w:r>
        <w:tab/>
      </w:r>
      <w:r>
        <w:fldChar w:fldCharType="begin"/>
      </w:r>
      <w:r>
        <w:instrText xml:space="preserve"> PAGEREF _Toc2612 \h </w:instrText>
      </w:r>
      <w:r>
        <w:fldChar w:fldCharType="separate"/>
      </w:r>
      <w:r>
        <w:t>33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_Toc11656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3.2.6、 </w:t>
      </w:r>
      <w:r>
        <w:rPr>
          <w:rFonts w:hint="eastAsia"/>
          <w:lang w:val="en-US" w:eastAsia="zh-CN"/>
        </w:rPr>
        <w:t>开评标场地预约</w:t>
      </w:r>
      <w:r>
        <w:tab/>
      </w:r>
      <w:r>
        <w:fldChar w:fldCharType="begin"/>
      </w:r>
      <w:r>
        <w:instrText xml:space="preserve"> PAGEREF _Toc11656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_Toc14801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3.2.7、 </w:t>
      </w:r>
      <w:r>
        <w:rPr>
          <w:rFonts w:hint="eastAsia"/>
          <w:lang w:val="en-US" w:eastAsia="zh-CN"/>
        </w:rPr>
        <w:t>开评标场地变更</w:t>
      </w:r>
      <w:r>
        <w:tab/>
      </w:r>
      <w:r>
        <w:fldChar w:fldCharType="begin"/>
      </w:r>
      <w:r>
        <w:instrText xml:space="preserve"> PAGEREF _Toc14801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_Toc15638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3.2.8、 </w:t>
      </w:r>
      <w:r>
        <w:rPr>
          <w:rFonts w:hint="eastAsia"/>
          <w:lang w:val="en-US" w:eastAsia="zh-CN"/>
        </w:rPr>
        <w:t>开评标场地取消</w:t>
      </w:r>
      <w:r>
        <w:tab/>
      </w:r>
      <w:r>
        <w:fldChar w:fldCharType="begin"/>
      </w:r>
      <w:r>
        <w:instrText xml:space="preserve"> PAGEREF _Toc15638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_Toc23070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3.2.9、 </w:t>
      </w:r>
      <w:r>
        <w:rPr>
          <w:rFonts w:hint="eastAsia"/>
          <w:lang w:val="en-US" w:eastAsia="zh-CN"/>
        </w:rPr>
        <w:t>招标公告</w:t>
      </w:r>
      <w:r>
        <w:tab/>
      </w:r>
      <w:r>
        <w:fldChar w:fldCharType="begin"/>
      </w:r>
      <w:r>
        <w:instrText xml:space="preserve"> PAGEREF _Toc23070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_Toc28916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3.2.10、 </w:t>
      </w:r>
      <w:r>
        <w:rPr>
          <w:rFonts w:hint="eastAsia"/>
          <w:lang w:val="en-US" w:eastAsia="zh-CN"/>
        </w:rPr>
        <w:t>变更公告</w:t>
      </w:r>
      <w:r>
        <w:tab/>
      </w:r>
      <w:r>
        <w:fldChar w:fldCharType="begin"/>
      </w:r>
      <w:r>
        <w:instrText xml:space="preserve"> PAGEREF _Toc28916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_Toc31573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3.2.11、 </w:t>
      </w:r>
      <w:r>
        <w:rPr>
          <w:rFonts w:hint="eastAsia"/>
          <w:lang w:val="en-US" w:eastAsia="zh-CN"/>
        </w:rPr>
        <w:t>招标文件</w:t>
      </w:r>
      <w:r>
        <w:tab/>
      </w:r>
      <w:r>
        <w:fldChar w:fldCharType="begin"/>
      </w:r>
      <w:r>
        <w:instrText xml:space="preserve"> PAGEREF _Toc31573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_Toc25972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3.2.12、 </w:t>
      </w:r>
      <w:r>
        <w:rPr>
          <w:rFonts w:hint="eastAsia"/>
          <w:lang w:val="en-US" w:eastAsia="zh-CN"/>
        </w:rPr>
        <w:t>答疑澄清文件</w:t>
      </w:r>
      <w:r>
        <w:tab/>
      </w:r>
      <w:r>
        <w:fldChar w:fldCharType="begin"/>
      </w:r>
      <w:r>
        <w:instrText xml:space="preserve"> PAGEREF _Toc25972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_Toc27010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3.2.13、 </w:t>
      </w:r>
      <w:r>
        <w:rPr>
          <w:rFonts w:hint="eastAsia"/>
          <w:lang w:val="en-US" w:eastAsia="zh-CN"/>
        </w:rPr>
        <w:t>招标控制价文件</w:t>
      </w:r>
      <w:r>
        <w:tab/>
      </w:r>
      <w:r>
        <w:fldChar w:fldCharType="begin"/>
      </w:r>
      <w:r>
        <w:instrText xml:space="preserve"> PAGEREF _Toc27010 \h </w:instrText>
      </w:r>
      <w:r>
        <w:fldChar w:fldCharType="separate"/>
      </w:r>
      <w:r>
        <w:t>34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_Toc15241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3.2.14、 </w:t>
      </w:r>
      <w:r>
        <w:rPr>
          <w:rFonts w:hint="eastAsia"/>
          <w:lang w:val="en-US" w:eastAsia="zh-CN"/>
        </w:rPr>
        <w:t>组建评标委员会</w:t>
      </w:r>
      <w:r>
        <w:tab/>
      </w:r>
      <w:r>
        <w:fldChar w:fldCharType="begin"/>
      </w:r>
      <w:r>
        <w:instrText xml:space="preserve"> PAGEREF _Toc15241 \h </w:instrText>
      </w:r>
      <w:r>
        <w:fldChar w:fldCharType="separate"/>
      </w:r>
      <w:r>
        <w:t>35</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_Toc31378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3.2.15、 </w:t>
      </w:r>
      <w:r>
        <w:rPr>
          <w:rFonts w:hint="eastAsia"/>
          <w:lang w:val="en-US" w:eastAsia="zh-CN"/>
        </w:rPr>
        <w:t>中标候选人公示</w:t>
      </w:r>
      <w:r>
        <w:tab/>
      </w:r>
      <w:r>
        <w:fldChar w:fldCharType="begin"/>
      </w:r>
      <w:r>
        <w:instrText xml:space="preserve"> PAGEREF _Toc31378 \h </w:instrText>
      </w:r>
      <w:r>
        <w:fldChar w:fldCharType="separate"/>
      </w:r>
      <w:r>
        <w:t>36</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_Toc28424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3.2.16、 </w:t>
      </w:r>
      <w:r>
        <w:rPr>
          <w:rFonts w:hint="eastAsia"/>
          <w:lang w:val="en-US" w:eastAsia="zh-CN"/>
        </w:rPr>
        <w:t>中标结果公告</w:t>
      </w:r>
      <w:r>
        <w:tab/>
      </w:r>
      <w:r>
        <w:fldChar w:fldCharType="begin"/>
      </w:r>
      <w:r>
        <w:instrText xml:space="preserve"> PAGEREF _Toc28424 \h </w:instrText>
      </w:r>
      <w:r>
        <w:fldChar w:fldCharType="separate"/>
      </w:r>
      <w:r>
        <w:t>36</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_Toc18978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3.2.17、 </w:t>
      </w:r>
      <w:r>
        <w:rPr>
          <w:rFonts w:hint="eastAsia"/>
          <w:lang w:val="en-US" w:eastAsia="zh-CN"/>
        </w:rPr>
        <w:t>中标通知书</w:t>
      </w:r>
      <w:r>
        <w:tab/>
      </w:r>
      <w:r>
        <w:fldChar w:fldCharType="begin"/>
      </w:r>
      <w:r>
        <w:instrText xml:space="preserve"> PAGEREF _Toc18978 \h </w:instrText>
      </w:r>
      <w:r>
        <w:fldChar w:fldCharType="separate"/>
      </w:r>
      <w:r>
        <w:t>36</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_Toc26578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3.2.18、 </w:t>
      </w:r>
      <w:r>
        <w:rPr>
          <w:rFonts w:hint="eastAsia"/>
          <w:lang w:val="en-US" w:eastAsia="zh-CN"/>
        </w:rPr>
        <w:t>招标异常</w:t>
      </w:r>
      <w:r>
        <w:tab/>
      </w:r>
      <w:r>
        <w:fldChar w:fldCharType="begin"/>
      </w:r>
      <w:r>
        <w:instrText xml:space="preserve"> PAGEREF _Toc26578 \h </w:instrText>
      </w:r>
      <w:r>
        <w:fldChar w:fldCharType="separate"/>
      </w:r>
      <w:r>
        <w:t>37</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_Toc14456 </w:instrText>
      </w:r>
      <w:r>
        <w:rPr>
          <w:rFonts w:ascii="Calibri" w:hAnsi="Calibri" w:cs="Calibri"/>
          <w:szCs w:val="20"/>
        </w:rPr>
        <w:fldChar w:fldCharType="separate"/>
      </w:r>
      <w:r>
        <w:rPr>
          <w:rFonts w:hint="default" w:ascii="Times New Roman" w:hAnsi="Times New Roman" w:cs="Times New Roman"/>
          <w:szCs w:val="30"/>
          <w:lang w:val="en-US" w:eastAsia="zh-CN"/>
        </w:rPr>
        <w:t xml:space="preserve">3.3、 </w:t>
      </w:r>
      <w:r>
        <w:rPr>
          <w:rFonts w:hint="eastAsia"/>
          <w:lang w:val="en-US" w:eastAsia="zh-CN"/>
        </w:rPr>
        <w:t>交通类</w:t>
      </w:r>
      <w:r>
        <w:tab/>
      </w:r>
      <w:r>
        <w:fldChar w:fldCharType="begin"/>
      </w:r>
      <w:r>
        <w:instrText xml:space="preserve"> PAGEREF _Toc14456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_Toc25940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 </w:t>
      </w:r>
      <w:r>
        <w:rPr>
          <w:rFonts w:hint="eastAsia"/>
          <w:lang w:val="en-US" w:eastAsia="zh-CN"/>
        </w:rPr>
        <w:t>项目注册</w:t>
      </w:r>
      <w:r>
        <w:tab/>
      </w:r>
      <w:r>
        <w:fldChar w:fldCharType="begin"/>
      </w:r>
      <w:r>
        <w:instrText xml:space="preserve"> PAGEREF _Toc25940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_Toc28297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3.3.2、 </w:t>
      </w:r>
      <w:r>
        <w:rPr>
          <w:rFonts w:hint="eastAsia"/>
          <w:lang w:val="en-US" w:eastAsia="zh-CN"/>
        </w:rPr>
        <w:t>招标项目</w:t>
      </w:r>
      <w:r>
        <w:tab/>
      </w:r>
      <w:r>
        <w:fldChar w:fldCharType="begin"/>
      </w:r>
      <w:r>
        <w:instrText xml:space="preserve"> PAGEREF _Toc28297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_Toc7938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3.3.3、 </w:t>
      </w:r>
      <w:r>
        <w:rPr>
          <w:rFonts w:hint="eastAsia"/>
          <w:lang w:val="en-US" w:eastAsia="zh-CN"/>
        </w:rPr>
        <w:t>开评标场地预约</w:t>
      </w:r>
      <w:r>
        <w:tab/>
      </w:r>
      <w:r>
        <w:fldChar w:fldCharType="begin"/>
      </w:r>
      <w:r>
        <w:instrText xml:space="preserve"> PAGEREF _Toc7938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_Toc30464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3.3.4、 </w:t>
      </w:r>
      <w:r>
        <w:rPr>
          <w:rFonts w:hint="eastAsia"/>
          <w:lang w:val="en-US" w:eastAsia="zh-CN"/>
        </w:rPr>
        <w:t>开评标场地变更</w:t>
      </w:r>
      <w:r>
        <w:tab/>
      </w:r>
      <w:r>
        <w:fldChar w:fldCharType="begin"/>
      </w:r>
      <w:r>
        <w:instrText xml:space="preserve"> PAGEREF _Toc30464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_Toc2490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3.3.5、 </w:t>
      </w:r>
      <w:r>
        <w:rPr>
          <w:rFonts w:hint="eastAsia"/>
          <w:lang w:val="en-US" w:eastAsia="zh-CN"/>
        </w:rPr>
        <w:t>开评标场地取消</w:t>
      </w:r>
      <w:r>
        <w:tab/>
      </w:r>
      <w:r>
        <w:fldChar w:fldCharType="begin"/>
      </w:r>
      <w:r>
        <w:instrText xml:space="preserve"> PAGEREF _Toc2490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_Toc15516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3.3.6、 </w:t>
      </w:r>
      <w:r>
        <w:rPr>
          <w:rFonts w:hint="eastAsia"/>
          <w:lang w:val="en-US" w:eastAsia="zh-CN"/>
        </w:rPr>
        <w:t>招标公告</w:t>
      </w:r>
      <w:r>
        <w:tab/>
      </w:r>
      <w:r>
        <w:fldChar w:fldCharType="begin"/>
      </w:r>
      <w:r>
        <w:instrText xml:space="preserve"> PAGEREF _Toc15516 \h </w:instrText>
      </w:r>
      <w:r>
        <w:fldChar w:fldCharType="separate"/>
      </w:r>
      <w:r>
        <w:t>38</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_Toc28981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3.3.7、 </w:t>
      </w:r>
      <w:r>
        <w:rPr>
          <w:rFonts w:hint="eastAsia"/>
          <w:lang w:val="en-US" w:eastAsia="zh-CN"/>
        </w:rPr>
        <w:t>变更公告</w:t>
      </w:r>
      <w:r>
        <w:tab/>
      </w:r>
      <w:r>
        <w:fldChar w:fldCharType="begin"/>
      </w:r>
      <w:r>
        <w:instrText xml:space="preserve"> PAGEREF _Toc28981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_Toc97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3.3.8、 </w:t>
      </w:r>
      <w:r>
        <w:rPr>
          <w:rFonts w:hint="eastAsia"/>
          <w:lang w:val="en-US" w:eastAsia="zh-CN"/>
        </w:rPr>
        <w:t>招标文件</w:t>
      </w:r>
      <w:r>
        <w:tab/>
      </w:r>
      <w:r>
        <w:fldChar w:fldCharType="begin"/>
      </w:r>
      <w:r>
        <w:instrText xml:space="preserve"> PAGEREF _Toc97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_Toc19940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3.3.9、 </w:t>
      </w:r>
      <w:r>
        <w:rPr>
          <w:rFonts w:hint="eastAsia"/>
          <w:lang w:val="en-US" w:eastAsia="zh-CN"/>
        </w:rPr>
        <w:t>答疑澄清文件</w:t>
      </w:r>
      <w:r>
        <w:tab/>
      </w:r>
      <w:r>
        <w:fldChar w:fldCharType="begin"/>
      </w:r>
      <w:r>
        <w:instrText xml:space="preserve"> PAGEREF _Toc19940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_Toc11890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3.3.10、 </w:t>
      </w:r>
      <w:r>
        <w:rPr>
          <w:rFonts w:hint="eastAsia"/>
          <w:lang w:val="en-US" w:eastAsia="zh-CN"/>
        </w:rPr>
        <w:t>招标控制价文件</w:t>
      </w:r>
      <w:r>
        <w:tab/>
      </w:r>
      <w:r>
        <w:fldChar w:fldCharType="begin"/>
      </w:r>
      <w:r>
        <w:instrText xml:space="preserve"> PAGEREF _Toc11890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_Toc17144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3.3.11、 </w:t>
      </w:r>
      <w:r>
        <w:rPr>
          <w:rFonts w:hint="eastAsia"/>
          <w:lang w:val="en-US" w:eastAsia="zh-CN"/>
        </w:rPr>
        <w:t>组建评标委员会</w:t>
      </w:r>
      <w:r>
        <w:tab/>
      </w:r>
      <w:r>
        <w:fldChar w:fldCharType="begin"/>
      </w:r>
      <w:r>
        <w:instrText xml:space="preserve"> PAGEREF _Toc17144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_Toc28295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3.3.12、 </w:t>
      </w:r>
      <w:r>
        <w:rPr>
          <w:rFonts w:hint="eastAsia"/>
          <w:lang w:val="en-US" w:eastAsia="zh-CN"/>
        </w:rPr>
        <w:t>中标候选人公示</w:t>
      </w:r>
      <w:r>
        <w:tab/>
      </w:r>
      <w:r>
        <w:fldChar w:fldCharType="begin"/>
      </w:r>
      <w:r>
        <w:instrText xml:space="preserve"> PAGEREF _Toc28295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_Toc19811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3.3.13、 </w:t>
      </w:r>
      <w:r>
        <w:rPr>
          <w:rFonts w:hint="eastAsia"/>
          <w:lang w:val="en-US" w:eastAsia="zh-CN"/>
        </w:rPr>
        <w:t>中标结果公告</w:t>
      </w:r>
      <w:r>
        <w:tab/>
      </w:r>
      <w:r>
        <w:fldChar w:fldCharType="begin"/>
      </w:r>
      <w:r>
        <w:instrText xml:space="preserve"> PAGEREF _Toc19811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_Toc30053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3.3.14、 </w:t>
      </w:r>
      <w:r>
        <w:rPr>
          <w:rFonts w:hint="eastAsia"/>
          <w:lang w:val="en-US" w:eastAsia="zh-CN"/>
        </w:rPr>
        <w:t>中标通知书</w:t>
      </w:r>
      <w:r>
        <w:tab/>
      </w:r>
      <w:r>
        <w:fldChar w:fldCharType="begin"/>
      </w:r>
      <w:r>
        <w:instrText xml:space="preserve"> PAGEREF _Toc30053 \h </w:instrText>
      </w:r>
      <w:r>
        <w:fldChar w:fldCharType="separate"/>
      </w:r>
      <w:r>
        <w:t>39</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_Toc13324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3.3.15、 </w:t>
      </w:r>
      <w:r>
        <w:rPr>
          <w:rFonts w:hint="eastAsia"/>
          <w:lang w:val="en-US" w:eastAsia="zh-CN"/>
        </w:rPr>
        <w:t>招标异常</w:t>
      </w:r>
      <w:r>
        <w:tab/>
      </w:r>
      <w:r>
        <w:fldChar w:fldCharType="begin"/>
      </w:r>
      <w:r>
        <w:instrText xml:space="preserve"> PAGEREF _Toc13324 \h </w:instrText>
      </w:r>
      <w:r>
        <w:fldChar w:fldCharType="separate"/>
      </w:r>
      <w:r>
        <w:t>39</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_Toc1729 </w:instrText>
      </w:r>
      <w:r>
        <w:rPr>
          <w:rFonts w:ascii="Calibri" w:hAnsi="Calibri" w:cs="Calibri"/>
          <w:szCs w:val="20"/>
        </w:rPr>
        <w:fldChar w:fldCharType="separate"/>
      </w:r>
      <w:r>
        <w:rPr>
          <w:rFonts w:hint="default" w:ascii="Times New Roman" w:hAnsi="Times New Roman" w:cs="Times New Roman"/>
          <w:szCs w:val="30"/>
          <w:lang w:val="en-US" w:eastAsia="zh-CN"/>
        </w:rPr>
        <w:t xml:space="preserve">3.4、 </w:t>
      </w:r>
      <w:r>
        <w:rPr>
          <w:rFonts w:hint="eastAsia"/>
          <w:lang w:val="en-US" w:eastAsia="zh-CN"/>
        </w:rPr>
        <w:t>政府采购</w:t>
      </w:r>
      <w:r>
        <w:tab/>
      </w:r>
      <w:r>
        <w:fldChar w:fldCharType="begin"/>
      </w:r>
      <w:r>
        <w:instrText xml:space="preserve"> PAGEREF _Toc1729 \h </w:instrText>
      </w:r>
      <w:r>
        <w:fldChar w:fldCharType="separate"/>
      </w:r>
      <w:r>
        <w:t>40</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_Toc2710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3.4.1、 </w:t>
      </w:r>
      <w:r>
        <w:rPr>
          <w:rFonts w:hint="eastAsia"/>
          <w:lang w:val="en-US" w:eastAsia="zh-CN"/>
        </w:rPr>
        <w:t>开评标场地预约</w:t>
      </w:r>
      <w:r>
        <w:tab/>
      </w:r>
      <w:r>
        <w:fldChar w:fldCharType="begin"/>
      </w:r>
      <w:r>
        <w:instrText xml:space="preserve"> PAGEREF _Toc2710 \h </w:instrText>
      </w:r>
      <w:r>
        <w:fldChar w:fldCharType="separate"/>
      </w:r>
      <w:r>
        <w:t>40</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_Toc21353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3.4.2、 </w:t>
      </w:r>
      <w:r>
        <w:rPr>
          <w:rFonts w:hint="eastAsia"/>
          <w:lang w:val="en-US" w:eastAsia="zh-CN"/>
        </w:rPr>
        <w:t>开评标场地变更</w:t>
      </w:r>
      <w:r>
        <w:tab/>
      </w:r>
      <w:r>
        <w:fldChar w:fldCharType="begin"/>
      </w:r>
      <w:r>
        <w:instrText xml:space="preserve"> PAGEREF _Toc21353 \h </w:instrText>
      </w:r>
      <w:r>
        <w:fldChar w:fldCharType="separate"/>
      </w:r>
      <w:r>
        <w:t>41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_Toc25447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3.4.3、 </w:t>
      </w:r>
      <w:r>
        <w:rPr>
          <w:rFonts w:hint="eastAsia"/>
          <w:lang w:val="en-US" w:eastAsia="zh-CN"/>
        </w:rPr>
        <w:t>开评标场地取消</w:t>
      </w:r>
      <w:r>
        <w:tab/>
      </w:r>
      <w:r>
        <w:fldChar w:fldCharType="begin"/>
      </w:r>
      <w:r>
        <w:instrText xml:space="preserve"> PAGEREF _Toc25447 \h </w:instrText>
      </w:r>
      <w:r>
        <w:fldChar w:fldCharType="separate"/>
      </w:r>
      <w:r>
        <w:t>41</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_Toc32186 </w:instrText>
      </w:r>
      <w:r>
        <w:rPr>
          <w:rFonts w:ascii="Calibri" w:hAnsi="Calibri" w:cs="Calibri"/>
          <w:szCs w:val="20"/>
        </w:rPr>
        <w:fldChar w:fldCharType="separate"/>
      </w:r>
      <w:r>
        <w:rPr>
          <w:rFonts w:hint="default" w:ascii="Times New Roman" w:hAnsi="Times New Roman" w:cs="Times New Roman"/>
          <w:szCs w:val="30"/>
          <w:lang w:val="en-US" w:eastAsia="zh-CN"/>
        </w:rPr>
        <w:t xml:space="preserve">3.5、 </w:t>
      </w:r>
      <w:r>
        <w:rPr>
          <w:rFonts w:hint="eastAsia"/>
          <w:lang w:val="en-US" w:eastAsia="zh-CN"/>
        </w:rPr>
        <w:t>其他工程</w:t>
      </w:r>
      <w:r>
        <w:tab/>
      </w:r>
      <w:r>
        <w:fldChar w:fldCharType="begin"/>
      </w:r>
      <w:r>
        <w:instrText xml:space="preserve"> PAGEREF _Toc32186 \h </w:instrText>
      </w:r>
      <w:r>
        <w:fldChar w:fldCharType="separate"/>
      </w:r>
      <w:r>
        <w:t>41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_Toc29390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 </w:t>
      </w:r>
      <w:r>
        <w:rPr>
          <w:rFonts w:hint="eastAsia"/>
          <w:lang w:val="en-US" w:eastAsia="zh-CN"/>
        </w:rPr>
        <w:t>项目注册</w:t>
      </w:r>
      <w:r>
        <w:tab/>
      </w:r>
      <w:r>
        <w:fldChar w:fldCharType="begin"/>
      </w:r>
      <w:r>
        <w:instrText xml:space="preserve"> PAGEREF _Toc29390 \h </w:instrText>
      </w:r>
      <w:r>
        <w:fldChar w:fldCharType="separate"/>
      </w:r>
      <w:r>
        <w:t>41</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_Toc7837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3.5.2、 </w:t>
      </w:r>
      <w:r>
        <w:rPr>
          <w:rFonts w:hint="eastAsia"/>
          <w:lang w:val="en-US" w:eastAsia="zh-CN"/>
        </w:rPr>
        <w:t>招标项目</w:t>
      </w:r>
      <w:r>
        <w:tab/>
      </w:r>
      <w:r>
        <w:fldChar w:fldCharType="begin"/>
      </w:r>
      <w:r>
        <w:instrText xml:space="preserve"> PAGEREF _Toc7837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_Toc13436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3.5.3、 </w:t>
      </w:r>
      <w:r>
        <w:rPr>
          <w:rFonts w:hint="eastAsia"/>
          <w:lang w:val="en-US" w:eastAsia="zh-CN"/>
        </w:rPr>
        <w:t>开评标场地预约</w:t>
      </w:r>
      <w:r>
        <w:tab/>
      </w:r>
      <w:r>
        <w:fldChar w:fldCharType="begin"/>
      </w:r>
      <w:r>
        <w:instrText xml:space="preserve"> PAGEREF _Toc13436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_Toc14250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3.5.4、 </w:t>
      </w:r>
      <w:r>
        <w:rPr>
          <w:rFonts w:hint="eastAsia"/>
          <w:lang w:val="en-US" w:eastAsia="zh-CN"/>
        </w:rPr>
        <w:t>开评标场地变更</w:t>
      </w:r>
      <w:r>
        <w:tab/>
      </w:r>
      <w:r>
        <w:fldChar w:fldCharType="begin"/>
      </w:r>
      <w:r>
        <w:instrText xml:space="preserve"> PAGEREF _Toc14250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_Toc28079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3.5.5、 </w:t>
      </w:r>
      <w:r>
        <w:rPr>
          <w:rFonts w:hint="eastAsia"/>
          <w:lang w:val="en-US" w:eastAsia="zh-CN"/>
        </w:rPr>
        <w:t>开评标场地取消</w:t>
      </w:r>
      <w:r>
        <w:tab/>
      </w:r>
      <w:r>
        <w:fldChar w:fldCharType="begin"/>
      </w:r>
      <w:r>
        <w:instrText xml:space="preserve"> PAGEREF _Toc28079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_Toc8992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3.5.6、 </w:t>
      </w:r>
      <w:r>
        <w:rPr>
          <w:rFonts w:hint="eastAsia"/>
          <w:lang w:val="en-US" w:eastAsia="zh-CN"/>
        </w:rPr>
        <w:t>招标公告</w:t>
      </w:r>
      <w:r>
        <w:tab/>
      </w:r>
      <w:r>
        <w:fldChar w:fldCharType="begin"/>
      </w:r>
      <w:r>
        <w:instrText xml:space="preserve"> PAGEREF _Toc8992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_Toc31164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3.5.7、 </w:t>
      </w:r>
      <w:r>
        <w:rPr>
          <w:rFonts w:hint="eastAsia"/>
          <w:lang w:val="en-US" w:eastAsia="zh-CN"/>
        </w:rPr>
        <w:t>变更公告</w:t>
      </w:r>
      <w:r>
        <w:tab/>
      </w:r>
      <w:r>
        <w:fldChar w:fldCharType="begin"/>
      </w:r>
      <w:r>
        <w:instrText xml:space="preserve"> PAGEREF _Toc31164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_Toc22733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3.5.8、 </w:t>
      </w:r>
      <w:r>
        <w:rPr>
          <w:rFonts w:hint="eastAsia"/>
          <w:lang w:val="en-US" w:eastAsia="zh-CN"/>
        </w:rPr>
        <w:t>招标文件</w:t>
      </w:r>
      <w:r>
        <w:tab/>
      </w:r>
      <w:r>
        <w:fldChar w:fldCharType="begin"/>
      </w:r>
      <w:r>
        <w:instrText xml:space="preserve"> PAGEREF _Toc22733 \h </w:instrText>
      </w:r>
      <w:r>
        <w:fldChar w:fldCharType="separate"/>
      </w:r>
      <w:r>
        <w:t>43</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_Toc31706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3.5.9、 </w:t>
      </w:r>
      <w:r>
        <w:rPr>
          <w:rFonts w:hint="eastAsia"/>
          <w:lang w:val="en-US" w:eastAsia="zh-CN"/>
        </w:rPr>
        <w:t>答疑澄清文件</w:t>
      </w:r>
      <w:r>
        <w:tab/>
      </w:r>
      <w:r>
        <w:fldChar w:fldCharType="begin"/>
      </w:r>
      <w:r>
        <w:instrText xml:space="preserve"> PAGEREF _Toc31706 \h </w:instrText>
      </w:r>
      <w:r>
        <w:fldChar w:fldCharType="separate"/>
      </w:r>
      <w:r>
        <w:t>44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_Toc22310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3.5.10、 </w:t>
      </w:r>
      <w:r>
        <w:rPr>
          <w:rFonts w:hint="eastAsia"/>
          <w:lang w:val="en-US" w:eastAsia="zh-CN"/>
        </w:rPr>
        <w:t>招标控制价文件</w:t>
      </w:r>
      <w:r>
        <w:tab/>
      </w:r>
      <w:r>
        <w:fldChar w:fldCharType="begin"/>
      </w:r>
      <w:r>
        <w:instrText xml:space="preserve"> PAGEREF _Toc22310 \h </w:instrText>
      </w:r>
      <w:r>
        <w:fldChar w:fldCharType="separate"/>
      </w:r>
      <w:r>
        <w:t>44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_Toc10333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3.5.11、 </w:t>
      </w:r>
      <w:r>
        <w:rPr>
          <w:rFonts w:hint="eastAsia"/>
          <w:lang w:val="en-US" w:eastAsia="zh-CN"/>
        </w:rPr>
        <w:t>组建评标委员会</w:t>
      </w:r>
      <w:r>
        <w:tab/>
      </w:r>
      <w:r>
        <w:fldChar w:fldCharType="begin"/>
      </w:r>
      <w:r>
        <w:instrText xml:space="preserve"> PAGEREF _Toc10333 \h </w:instrText>
      </w:r>
      <w:r>
        <w:fldChar w:fldCharType="separate"/>
      </w:r>
      <w:r>
        <w:t>44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_Toc14869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3.5.12、 </w:t>
      </w:r>
      <w:r>
        <w:rPr>
          <w:rFonts w:hint="eastAsia"/>
          <w:lang w:val="en-US" w:eastAsia="zh-CN"/>
        </w:rPr>
        <w:t>中标候选人公示</w:t>
      </w:r>
      <w:r>
        <w:tab/>
      </w:r>
      <w:r>
        <w:fldChar w:fldCharType="begin"/>
      </w:r>
      <w:r>
        <w:instrText xml:space="preserve"> PAGEREF _Toc14869 \h </w:instrText>
      </w:r>
      <w:r>
        <w:fldChar w:fldCharType="separate"/>
      </w:r>
      <w:r>
        <w:t>44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_Toc10441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3.5.13、 </w:t>
      </w:r>
      <w:r>
        <w:rPr>
          <w:rFonts w:hint="eastAsia"/>
          <w:lang w:val="en-US" w:eastAsia="zh-CN"/>
        </w:rPr>
        <w:t>中标结果公告</w:t>
      </w:r>
      <w:r>
        <w:tab/>
      </w:r>
      <w:r>
        <w:fldChar w:fldCharType="begin"/>
      </w:r>
      <w:r>
        <w:instrText xml:space="preserve"> PAGEREF _Toc10441 \h </w:instrText>
      </w:r>
      <w:r>
        <w:fldChar w:fldCharType="separate"/>
      </w:r>
      <w:r>
        <w:t>44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_Toc5451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3.5.14、 </w:t>
      </w:r>
      <w:r>
        <w:rPr>
          <w:rFonts w:hint="eastAsia"/>
          <w:lang w:val="en-US" w:eastAsia="zh-CN"/>
        </w:rPr>
        <w:t>中标通知书</w:t>
      </w:r>
      <w:r>
        <w:tab/>
      </w:r>
      <w:r>
        <w:fldChar w:fldCharType="begin"/>
      </w:r>
      <w:r>
        <w:instrText xml:space="preserve"> PAGEREF _Toc5451 \h </w:instrText>
      </w:r>
      <w:r>
        <w:fldChar w:fldCharType="separate"/>
      </w:r>
      <w:r>
        <w:t>44</w:t>
      </w:r>
      <w:r>
        <w:fldChar w:fldCharType="end"/>
      </w:r>
      <w:r>
        <w:rPr>
          <w:rFonts w:ascii="Calibri" w:hAnsi="Calibri" w:cs="Calibri"/>
          <w:szCs w:val="20"/>
        </w:rPr>
        <w:fldChar w:fldCharType="end"/>
      </w:r>
    </w:p>
    <w:p>
      <w:pPr>
        <w:pStyle w:val="20"/>
        <w:tabs>
          <w:tab w:val="right" w:leader="dot" w:pos="8312"/>
        </w:tabs>
      </w:pPr>
      <w:r>
        <w:rPr>
          <w:rFonts w:ascii="Calibri" w:hAnsi="Calibri" w:cs="Calibri"/>
          <w:szCs w:val="20"/>
        </w:rPr>
        <w:fldChar w:fldCharType="begin"/>
      </w:r>
      <w:r>
        <w:rPr>
          <w:rFonts w:ascii="Calibri" w:hAnsi="Calibri" w:cs="Calibri"/>
          <w:szCs w:val="20"/>
        </w:rPr>
        <w:instrText xml:space="preserve"> HYPERLINK \l _Toc31066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14:shadow w14:blurRad="0" w14:dist="0" w14:dir="0" w14:sx="0" w14:sy="0" w14:kx="0" w14:ky="0" w14:algn="none">
            <w14:srgbClr w14:val="000000"/>
          </w14:shadow>
        </w:rPr>
        <w:t xml:space="preserve">3.5.15、 </w:t>
      </w:r>
      <w:r>
        <w:rPr>
          <w:rFonts w:hint="eastAsia"/>
          <w:lang w:val="en-US" w:eastAsia="zh-CN"/>
        </w:rPr>
        <w:t>招标异常</w:t>
      </w:r>
      <w:r>
        <w:tab/>
      </w:r>
      <w:r>
        <w:fldChar w:fldCharType="begin"/>
      </w:r>
      <w:r>
        <w:instrText xml:space="preserve"> PAGEREF _Toc31066 \h </w:instrText>
      </w:r>
      <w:r>
        <w:fldChar w:fldCharType="separate"/>
      </w:r>
      <w:r>
        <w:t>44</w:t>
      </w:r>
      <w:r>
        <w:fldChar w:fldCharType="end"/>
      </w:r>
      <w:r>
        <w:rPr>
          <w:rFonts w:ascii="Calibri" w:hAnsi="Calibri" w:cs="Calibri"/>
          <w:szCs w:val="20"/>
        </w:rPr>
        <w:fldChar w:fldCharType="end"/>
      </w:r>
    </w:p>
    <w:p>
      <w:pPr>
        <w:pStyle w:val="28"/>
        <w:tabs>
          <w:tab w:val="right" w:leader="dot" w:pos="8312"/>
        </w:tabs>
      </w:pPr>
      <w:r>
        <w:rPr>
          <w:rFonts w:ascii="Calibri" w:hAnsi="Calibri" w:cs="Calibri"/>
          <w:szCs w:val="20"/>
        </w:rPr>
        <w:fldChar w:fldCharType="begin"/>
      </w:r>
      <w:r>
        <w:rPr>
          <w:rFonts w:ascii="Calibri" w:hAnsi="Calibri" w:cs="Calibri"/>
          <w:szCs w:val="20"/>
        </w:rPr>
        <w:instrText xml:space="preserve"> HYPERLINK \l _Toc5660 </w:instrText>
      </w:r>
      <w:r>
        <w:rPr>
          <w:rFonts w:ascii="Calibri" w:hAnsi="Calibri" w:cs="Calibri"/>
          <w:szCs w:val="20"/>
        </w:rPr>
        <w:fldChar w:fldCharType="separate"/>
      </w:r>
      <w:r>
        <w:rPr>
          <w:rFonts w:hint="eastAsia"/>
          <w:lang w:val="en-US" w:eastAsia="zh-CN"/>
        </w:rPr>
        <w:t>四、 常见问题答疑</w:t>
      </w:r>
      <w:r>
        <w:tab/>
      </w:r>
      <w:r>
        <w:fldChar w:fldCharType="begin"/>
      </w:r>
      <w:r>
        <w:instrText xml:space="preserve"> PAGEREF _Toc5660 \h </w:instrText>
      </w:r>
      <w:r>
        <w:fldChar w:fldCharType="separate"/>
      </w:r>
      <w:r>
        <w:t>44</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_Toc21497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4.1、 </w:t>
      </w:r>
      <w:r>
        <w:rPr>
          <w:rFonts w:hint="eastAsia"/>
          <w:lang w:val="en-US" w:eastAsia="zh-CN"/>
        </w:rPr>
        <w:t>点击同步建设云项目，但是项目一直没同步到</w:t>
      </w:r>
      <w:r>
        <w:tab/>
      </w:r>
      <w:r>
        <w:fldChar w:fldCharType="begin"/>
      </w:r>
      <w:r>
        <w:instrText xml:space="preserve"> PAGEREF _Toc21497 \h </w:instrText>
      </w:r>
      <w:r>
        <w:fldChar w:fldCharType="separate"/>
      </w:r>
      <w:r>
        <w:t>44</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_Toc20775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4.2、 </w:t>
      </w:r>
      <w:r>
        <w:rPr>
          <w:rFonts w:hint="eastAsia"/>
          <w:lang w:val="en-US" w:eastAsia="zh-CN"/>
        </w:rPr>
        <w:t>同步到交易平台的标段状态为审核通过无法修改</w:t>
      </w:r>
      <w:r>
        <w:tab/>
      </w:r>
      <w:r>
        <w:fldChar w:fldCharType="begin"/>
      </w:r>
      <w:r>
        <w:instrText xml:space="preserve"> PAGEREF _Toc20775 \h </w:instrText>
      </w:r>
      <w:r>
        <w:fldChar w:fldCharType="separate"/>
      </w:r>
      <w:r>
        <w:t>44</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_Toc7099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4.3、 </w:t>
      </w:r>
      <w:r>
        <w:rPr>
          <w:rFonts w:hint="eastAsia"/>
          <w:lang w:val="en-US" w:eastAsia="zh-CN"/>
        </w:rPr>
        <w:t>房建市政类项目提交了相应的流程，但是主管部门审核看不到项目</w:t>
      </w:r>
      <w:r>
        <w:tab/>
      </w:r>
      <w:r>
        <w:fldChar w:fldCharType="begin"/>
      </w:r>
      <w:r>
        <w:instrText xml:space="preserve"> PAGEREF _Toc7099 \h </w:instrText>
      </w:r>
      <w:r>
        <w:fldChar w:fldCharType="separate"/>
      </w:r>
      <w:r>
        <w:t>45</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_Toc604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4.4、 </w:t>
      </w:r>
      <w:r>
        <w:rPr>
          <w:rFonts w:hint="eastAsia"/>
          <w:lang w:val="en-US" w:eastAsia="zh-CN"/>
        </w:rPr>
        <w:t>多个标段预约了同一场地，现在其中某一标段需要终止或延期</w:t>
      </w:r>
      <w:r>
        <w:tab/>
      </w:r>
      <w:r>
        <w:fldChar w:fldCharType="begin"/>
      </w:r>
      <w:r>
        <w:instrText xml:space="preserve"> PAGEREF _Toc604 \h </w:instrText>
      </w:r>
      <w:r>
        <w:fldChar w:fldCharType="separate"/>
      </w:r>
      <w:r>
        <w:t>45</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_Toc5455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4.5、 </w:t>
      </w:r>
      <w:r>
        <w:rPr>
          <w:rFonts w:hint="eastAsia"/>
          <w:lang w:val="en-US" w:eastAsia="zh-CN"/>
        </w:rPr>
        <w:t>项目在开标前终止了，需要进行场地取消流程吗</w:t>
      </w:r>
      <w:r>
        <w:tab/>
      </w:r>
      <w:r>
        <w:fldChar w:fldCharType="begin"/>
      </w:r>
      <w:r>
        <w:instrText xml:space="preserve"> PAGEREF _Toc5455 \h </w:instrText>
      </w:r>
      <w:r>
        <w:fldChar w:fldCharType="separate"/>
      </w:r>
      <w:r>
        <w:t>45</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_Toc31266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4.6、 </w:t>
      </w:r>
      <w:r>
        <w:rPr>
          <w:rFonts w:hint="eastAsia"/>
          <w:lang w:val="en-US" w:eastAsia="zh-CN"/>
        </w:rPr>
        <w:t>怎么查看、下载投标文件或评标报告</w:t>
      </w:r>
      <w:r>
        <w:tab/>
      </w:r>
      <w:r>
        <w:fldChar w:fldCharType="begin"/>
      </w:r>
      <w:r>
        <w:instrText xml:space="preserve"> PAGEREF _Toc31266 \h </w:instrText>
      </w:r>
      <w:r>
        <w:fldChar w:fldCharType="separate"/>
      </w:r>
      <w:r>
        <w:t>45</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_Toc23574 </w:instrText>
      </w:r>
      <w:r>
        <w:rPr>
          <w:rFonts w:ascii="Calibri" w:hAnsi="Calibri" w:cs="Calibri"/>
          <w:szCs w:val="20"/>
        </w:rPr>
        <w:fldChar w:fldCharType="separate"/>
      </w:r>
      <w:r>
        <w:rPr>
          <w:rFonts w:hint="default" w:ascii="Times New Roman" w:hAnsi="Times New Roman" w:cs="Times New Roman"/>
          <w:szCs w:val="30"/>
        </w:rPr>
        <w:t xml:space="preserve">4.7、 </w:t>
      </w:r>
      <w:r>
        <w:rPr>
          <w:rFonts w:hint="eastAsia"/>
          <w:lang w:val="en-US" w:eastAsia="zh-CN"/>
        </w:rPr>
        <w:t>投标单位在线提问及异议怎么处理</w:t>
      </w:r>
      <w:r>
        <w:tab/>
      </w:r>
      <w:r>
        <w:fldChar w:fldCharType="begin"/>
      </w:r>
      <w:r>
        <w:instrText xml:space="preserve"> PAGEREF _Toc23574 \h </w:instrText>
      </w:r>
      <w:r>
        <w:fldChar w:fldCharType="separate"/>
      </w:r>
      <w:r>
        <w:t>46</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_Toc2210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4.8、 </w:t>
      </w:r>
      <w:r>
        <w:rPr>
          <w:rFonts w:hint="eastAsia"/>
          <w:lang w:val="en-US" w:eastAsia="zh-CN"/>
        </w:rPr>
        <w:t>新增挑选页面选不到项目</w:t>
      </w:r>
      <w:r>
        <w:tab/>
      </w:r>
      <w:r>
        <w:fldChar w:fldCharType="begin"/>
      </w:r>
      <w:r>
        <w:instrText xml:space="preserve"> PAGEREF _Toc2210 \h </w:instrText>
      </w:r>
      <w:r>
        <w:fldChar w:fldCharType="separate"/>
      </w:r>
      <w:r>
        <w:t>46</w:t>
      </w:r>
      <w:r>
        <w:fldChar w:fldCharType="end"/>
      </w:r>
      <w:r>
        <w:rPr>
          <w:rFonts w:ascii="Calibri" w:hAnsi="Calibri" w:cs="Calibri"/>
          <w:szCs w:val="20"/>
        </w:rPr>
        <w:fldChar w:fldCharType="end"/>
      </w:r>
    </w:p>
    <w:p>
      <w:pPr>
        <w:pStyle w:val="34"/>
        <w:tabs>
          <w:tab w:val="right" w:leader="dot" w:pos="8312"/>
        </w:tabs>
      </w:pPr>
      <w:r>
        <w:rPr>
          <w:rFonts w:ascii="Calibri" w:hAnsi="Calibri" w:cs="Calibri"/>
          <w:szCs w:val="20"/>
        </w:rPr>
        <w:fldChar w:fldCharType="begin"/>
      </w:r>
      <w:r>
        <w:rPr>
          <w:rFonts w:ascii="Calibri" w:hAnsi="Calibri" w:cs="Calibri"/>
          <w:szCs w:val="20"/>
        </w:rPr>
        <w:instrText xml:space="preserve"> HYPERLINK \l _Toc16565 </w:instrText>
      </w:r>
      <w:r>
        <w:rPr>
          <w:rFonts w:ascii="Calibri" w:hAnsi="Calibri" w:cs="Calibri"/>
          <w:szCs w:val="20"/>
        </w:rPr>
        <w:fldChar w:fldCharType="separate"/>
      </w:r>
      <w:r>
        <w:rPr>
          <w:rFonts w:hint="default" w:ascii="Times New Roman" w:hAnsi="Times New Roman" w:cs="Times New Roman"/>
          <w:szCs w:val="30"/>
          <w:lang w:val="en-US" w:eastAsia="zh-CN"/>
        </w:rPr>
        <w:t xml:space="preserve">4.9、 </w:t>
      </w:r>
      <w:r>
        <w:rPr>
          <w:rFonts w:hint="eastAsia"/>
          <w:lang w:val="en-US" w:eastAsia="zh-CN"/>
        </w:rPr>
        <w:t>怎么打印投标名单</w:t>
      </w:r>
      <w:r>
        <w:tab/>
      </w:r>
      <w:r>
        <w:fldChar w:fldCharType="begin"/>
      </w:r>
      <w:r>
        <w:instrText xml:space="preserve"> PAGEREF _Toc16565 \h </w:instrText>
      </w:r>
      <w:r>
        <w:fldChar w:fldCharType="separate"/>
      </w:r>
      <w:r>
        <w:t>47</w:t>
      </w:r>
      <w:r>
        <w:fldChar w:fldCharType="end"/>
      </w:r>
      <w:r>
        <w:rPr>
          <w:rFonts w:ascii="Calibri" w:hAnsi="Calibri" w:cs="Calibri"/>
          <w:szCs w:val="20"/>
        </w:rPr>
        <w:fldChar w:fldCharType="end"/>
      </w:r>
    </w:p>
    <w:p>
      <w:pPr>
        <w:pStyle w:val="56"/>
        <w:spacing w:line="240" w:lineRule="auto"/>
        <w:ind w:firstLine="360"/>
      </w:pPr>
      <w:r>
        <w:rPr>
          <w:rFonts w:ascii="Calibri" w:hAnsi="Calibri" w:cs="Calibri"/>
          <w:szCs w:val="20"/>
        </w:rPr>
        <w:fldChar w:fldCharType="end"/>
      </w:r>
    </w:p>
    <w:p>
      <w:pPr>
        <w:pStyle w:val="80"/>
      </w:pPr>
    </w:p>
    <w:p>
      <w:pPr>
        <w:pStyle w:val="80"/>
      </w:pPr>
    </w:p>
    <w:p>
      <w:pPr>
        <w:pStyle w:val="80"/>
      </w:pPr>
    </w:p>
    <w:p>
      <w:pPr>
        <w:pStyle w:val="80"/>
      </w:pPr>
    </w:p>
    <w:p>
      <w:pPr>
        <w:pStyle w:val="80"/>
      </w:pPr>
    </w:p>
    <w:p>
      <w:pPr>
        <w:ind w:firstLine="0" w:firstLineChars="0"/>
        <w:rPr>
          <w:b/>
        </w:rPr>
      </w:pPr>
    </w:p>
    <w:p>
      <w:pPr>
        <w:ind w:firstLine="0" w:firstLineChars="0"/>
        <w:rPr>
          <w:b/>
        </w:rPr>
      </w:pPr>
    </w:p>
    <w:p>
      <w:pPr>
        <w:ind w:firstLine="0" w:firstLineChars="0"/>
        <w:rPr>
          <w:b/>
        </w:rPr>
      </w:pPr>
    </w:p>
    <w:p>
      <w:pPr>
        <w:ind w:firstLine="0" w:firstLineChars="0"/>
        <w:rPr>
          <w:b/>
        </w:rPr>
      </w:pPr>
    </w:p>
    <w:p>
      <w:pPr>
        <w:ind w:firstLine="0" w:firstLineChars="0"/>
        <w:rPr>
          <w:b/>
        </w:rPr>
      </w:pPr>
    </w:p>
    <w:p>
      <w:pPr>
        <w:ind w:firstLine="0" w:firstLineChars="0"/>
        <w:rPr>
          <w:b/>
        </w:rPr>
      </w:pPr>
    </w:p>
    <w:p>
      <w:pPr>
        <w:ind w:firstLine="0" w:firstLineChars="0"/>
        <w:rPr>
          <w:b/>
        </w:rPr>
      </w:pPr>
    </w:p>
    <w:p>
      <w:pPr>
        <w:ind w:firstLine="0" w:firstLineChars="0"/>
        <w:rPr>
          <w:b/>
        </w:rPr>
      </w:pPr>
    </w:p>
    <w:p>
      <w:pPr>
        <w:pStyle w:val="2"/>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54" w:footer="680" w:gutter="0"/>
          <w:pgNumType w:start="0"/>
          <w:cols w:space="720" w:num="1"/>
          <w:titlePg/>
          <w:docGrid w:type="lines" w:linePitch="312" w:charSpace="0"/>
        </w:sectPr>
      </w:pPr>
      <w:bookmarkStart w:id="0" w:name="_Toc404764406"/>
      <w:bookmarkStart w:id="1" w:name="_Toc346701609"/>
      <w:bookmarkStart w:id="2" w:name="_Toc404243487"/>
      <w:bookmarkStart w:id="3" w:name="_Toc346183627"/>
      <w:bookmarkStart w:id="4" w:name="_Toc225152729"/>
    </w:p>
    <w:p>
      <w:pPr>
        <w:pStyle w:val="2"/>
      </w:pPr>
      <w:bookmarkStart w:id="5" w:name="_Toc29911"/>
      <w:r>
        <w:t>系统前期准备</w:t>
      </w:r>
      <w:bookmarkEnd w:id="0"/>
      <w:bookmarkEnd w:id="1"/>
      <w:bookmarkEnd w:id="2"/>
      <w:bookmarkEnd w:id="3"/>
      <w:bookmarkEnd w:id="5"/>
    </w:p>
    <w:p>
      <w:pPr>
        <w:pStyle w:val="3"/>
      </w:pPr>
      <w:bookmarkStart w:id="6" w:name="_Toc404243499"/>
      <w:bookmarkStart w:id="7" w:name="_Toc404764418"/>
      <w:bookmarkStart w:id="8" w:name="_Toc346701621"/>
      <w:bookmarkStart w:id="9" w:name="_Toc346183639"/>
      <w:bookmarkStart w:id="10" w:name="_Toc17923"/>
      <w:r>
        <w:t>浏览器</w:t>
      </w:r>
      <w:r>
        <w:rPr>
          <w:rFonts w:hint="eastAsia"/>
          <w:lang w:val="en-US" w:eastAsia="zh-CN"/>
        </w:rPr>
        <w:t>环境</w:t>
      </w:r>
      <w:bookmarkEnd w:id="6"/>
      <w:bookmarkEnd w:id="7"/>
      <w:bookmarkEnd w:id="8"/>
      <w:bookmarkEnd w:id="9"/>
      <w:r>
        <w:rPr>
          <w:rFonts w:hint="eastAsia"/>
          <w:lang w:val="en-US" w:eastAsia="zh-CN"/>
        </w:rPr>
        <w:t>设置</w:t>
      </w:r>
      <w:bookmarkEnd w:id="10"/>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lang w:val="en-US" w:eastAsia="zh-CN"/>
        </w:rPr>
      </w:pPr>
      <w:r>
        <w:rPr>
          <w:rFonts w:hint="eastAsia"/>
          <w:lang w:val="en-US" w:eastAsia="zh-CN"/>
        </w:rPr>
        <w:t>详见塔城地区公共资源交易网→下载中心→《使用ca登录的浏览器环境设置操作》</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lang w:val="en-US" w:eastAsia="zh-CN"/>
        </w:rPr>
      </w:pPr>
    </w:p>
    <w:bookmarkEnd w:id="4"/>
    <w:p>
      <w:pPr>
        <w:pStyle w:val="2"/>
      </w:pPr>
      <w:bookmarkStart w:id="11" w:name="_Toc21117"/>
      <w:r>
        <w:rPr>
          <w:rFonts w:hint="eastAsia"/>
          <w:lang w:val="en-US" w:eastAsia="zh-CN"/>
        </w:rPr>
        <w:t>塔城地区</w:t>
      </w:r>
      <w:r>
        <w:rPr>
          <w:rFonts w:hint="eastAsia"/>
        </w:rPr>
        <w:t>公共资源平台注册以及登录</w:t>
      </w:r>
      <w:bookmarkEnd w:id="11"/>
    </w:p>
    <w:p>
      <w:pPr>
        <w:pStyle w:val="3"/>
      </w:pPr>
      <w:bookmarkStart w:id="12" w:name="_Toc2818"/>
      <w:r>
        <w:rPr>
          <w:rFonts w:hint="eastAsia"/>
          <w:lang w:val="en-US" w:eastAsia="zh-CN"/>
        </w:rPr>
        <w:t>企业信息注册入库</w:t>
      </w:r>
      <w:bookmarkEnd w:id="12"/>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eastAsia="宋体"/>
          <w:lang w:val="en-US" w:eastAsia="zh-CN"/>
        </w:rPr>
      </w:pPr>
      <w:r>
        <w:rPr>
          <w:rFonts w:hint="eastAsia"/>
          <w:lang w:val="en-US" w:eastAsia="zh-CN"/>
        </w:rPr>
        <w:t>见塔城地区公共资源交易网下载中心“塔城地区公共资源交易平台注册入库及激活CA操作演示”</w:t>
      </w:r>
    </w:p>
    <w:p>
      <w:pPr>
        <w:ind w:left="424" w:firstLine="0" w:firstLineChars="0"/>
      </w:pPr>
    </w:p>
    <w:p>
      <w:pPr>
        <w:pStyle w:val="2"/>
        <w:bidi w:val="0"/>
        <w:rPr>
          <w:rFonts w:hint="eastAsia"/>
          <w:lang w:val="en-US" w:eastAsia="zh-CN"/>
        </w:rPr>
      </w:pPr>
      <w:bookmarkStart w:id="13" w:name="_Toc28105"/>
      <w:r>
        <w:rPr>
          <w:rFonts w:hint="eastAsia"/>
          <w:lang w:val="en-US" w:eastAsia="zh-CN"/>
        </w:rPr>
        <w:t>招标代理业务操作</w:t>
      </w:r>
      <w:bookmarkEnd w:id="13"/>
    </w:p>
    <w:p>
      <w:pPr>
        <w:pStyle w:val="3"/>
        <w:bidi w:val="0"/>
        <w:rPr>
          <w:rFonts w:hint="default"/>
          <w:lang w:val="en-US" w:eastAsia="zh-CN"/>
        </w:rPr>
      </w:pPr>
      <w:bookmarkStart w:id="14" w:name="_Toc28133"/>
      <w:r>
        <w:rPr>
          <w:rFonts w:hint="eastAsia"/>
          <w:lang w:val="en-US" w:eastAsia="zh-CN"/>
        </w:rPr>
        <w:t>房建市政类</w:t>
      </w:r>
      <w:bookmarkEnd w:id="14"/>
    </w:p>
    <w:p>
      <w:pPr>
        <w:pStyle w:val="4"/>
        <w:bidi w:val="0"/>
        <w:rPr>
          <w:rFonts w:hint="default"/>
          <w:lang w:val="en-US" w:eastAsia="zh-CN"/>
        </w:rPr>
      </w:pPr>
      <w:bookmarkStart w:id="15" w:name="_Toc19433"/>
      <w:r>
        <w:rPr>
          <w:rFonts w:hint="eastAsia"/>
          <w:lang w:val="en-US" w:eastAsia="zh-CN"/>
        </w:rPr>
        <w:t>建设云项目同步</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招标人注册入库，</w:t>
      </w:r>
      <w:r>
        <w:rPr>
          <w:rFonts w:hint="eastAsia"/>
          <w:b/>
          <w:bCs/>
          <w:color w:val="FF0000"/>
          <w:lang w:val="en-US" w:eastAsia="zh-CN"/>
        </w:rPr>
        <w:t>需招标人账号完成此步骤；开始进行前请先阅读“四、常见问题答疑”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lang w:val="en-US" w:eastAsia="zh-CN"/>
        </w:rPr>
        <w:t>同步建设云审核通过的项目及标段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w:t>
      </w:r>
      <w:r>
        <w:rPr>
          <w:rFonts w:hint="eastAsia"/>
          <w:b w:val="0"/>
          <w:bCs w:val="0"/>
          <w:lang w:val="en-US" w:eastAsia="zh-CN"/>
        </w:rPr>
        <w:t>招标人登录进入</w:t>
      </w:r>
      <w:r>
        <w:rPr>
          <w:rFonts w:hint="eastAsia"/>
          <w:lang w:val="en-US" w:eastAsia="zh-CN"/>
        </w:rPr>
        <w:t>交易平台</w:t>
      </w:r>
    </w:p>
    <w:p>
      <w:pPr>
        <w:widowControl w:val="0"/>
        <w:numPr>
          <w:ilvl w:val="0"/>
          <w:numId w:val="0"/>
        </w:numPr>
        <w:spacing w:line="360" w:lineRule="auto"/>
      </w:pPr>
      <w:r>
        <w:drawing>
          <wp:inline distT="0" distB="0" distL="114300" distR="114300">
            <wp:extent cx="5266690" cy="18954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6690" cy="1895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2、点击“工程业务→招标方案→建设云项目同步”，进入建设云项目同步页面，如下图：</w:t>
      </w:r>
    </w:p>
    <w:p>
      <w:pPr>
        <w:widowControl w:val="0"/>
        <w:numPr>
          <w:ilvl w:val="0"/>
          <w:numId w:val="0"/>
        </w:numPr>
        <w:spacing w:line="360" w:lineRule="auto"/>
        <w:rPr>
          <w:rFonts w:hint="default"/>
          <w:lang w:val="en-US" w:eastAsia="zh-CN"/>
        </w:rPr>
      </w:pPr>
      <w:r>
        <w:drawing>
          <wp:inline distT="0" distB="0" distL="114300" distR="114300">
            <wp:extent cx="5266690" cy="143764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66690" cy="14376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3、选择建设云项目或标段审核通过的日期，确认后，点击“获取建设云项目”</w:t>
      </w:r>
    </w:p>
    <w:p>
      <w:pPr>
        <w:widowControl w:val="0"/>
        <w:numPr>
          <w:ilvl w:val="0"/>
          <w:numId w:val="0"/>
        </w:numPr>
        <w:spacing w:line="360" w:lineRule="auto"/>
        <w:rPr>
          <w:rFonts w:hint="default"/>
          <w:lang w:val="en-US" w:eastAsia="zh-CN"/>
        </w:rPr>
      </w:pPr>
      <w:r>
        <w:drawing>
          <wp:inline distT="0" distB="0" distL="114300" distR="114300">
            <wp:extent cx="5266690" cy="1407160"/>
            <wp:effectExtent l="0" t="0" r="1016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66690" cy="1407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4、完成建设云项目同步</w:t>
      </w:r>
    </w:p>
    <w:p>
      <w:pPr>
        <w:widowControl w:val="0"/>
        <w:numPr>
          <w:ilvl w:val="0"/>
          <w:numId w:val="0"/>
        </w:numPr>
        <w:spacing w:line="360" w:lineRule="auto"/>
        <w:rPr>
          <w:rFonts w:hint="default"/>
          <w:lang w:val="en-US" w:eastAsia="zh-CN"/>
        </w:rPr>
      </w:pPr>
      <w:r>
        <w:drawing>
          <wp:inline distT="0" distB="0" distL="114300" distR="114300">
            <wp:extent cx="5266690" cy="1231900"/>
            <wp:effectExtent l="0" t="0" r="1016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6690" cy="1231900"/>
                    </a:xfrm>
                    <a:prstGeom prst="rect">
                      <a:avLst/>
                    </a:prstGeom>
                    <a:noFill/>
                    <a:ln>
                      <a:noFill/>
                    </a:ln>
                  </pic:spPr>
                </pic:pic>
              </a:graphicData>
            </a:graphic>
          </wp:inline>
        </w:drawing>
      </w:r>
    </w:p>
    <w:p>
      <w:pPr>
        <w:widowControl w:val="0"/>
        <w:numPr>
          <w:ilvl w:val="0"/>
          <w:numId w:val="0"/>
        </w:numPr>
        <w:spacing w:line="360" w:lineRule="auto"/>
        <w:rPr>
          <w:rFonts w:hint="default"/>
          <w:lang w:val="en-US" w:eastAsia="zh-CN"/>
        </w:rPr>
      </w:pPr>
    </w:p>
    <w:p>
      <w:pPr>
        <w:pStyle w:val="4"/>
        <w:bidi w:val="0"/>
        <w:rPr>
          <w:rFonts w:hint="default"/>
          <w:lang w:val="en-US" w:eastAsia="zh-CN"/>
        </w:rPr>
      </w:pPr>
      <w:bookmarkStart w:id="16" w:name="_Toc20416"/>
      <w:r>
        <w:rPr>
          <w:rFonts w:hint="eastAsia"/>
          <w:lang w:val="en-US" w:eastAsia="zh-CN"/>
        </w:rPr>
        <w:t>项目注册</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项目已从建设云同步至交易平台，使用招标代理账号操作后续流程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完善项目注册信息；无审核流程（提交即通过）；</w:t>
      </w:r>
      <w:r>
        <w:rPr>
          <w:rFonts w:hint="eastAsia"/>
          <w:b/>
          <w:bCs/>
          <w:color w:val="FF0000"/>
          <w:lang w:val="en-US" w:eastAsia="zh-CN"/>
        </w:rPr>
        <w:t>注意！无审核流程，提交就通过，无法再修改，请仔细填写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1、点击“工程业务→招标方案→项目注册”，进入项目注册页面，可看到已同步至交易平台的项目注册信息，状态为编辑中，如下图：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223645"/>
            <wp:effectExtent l="0" t="0" r="1016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66690" cy="1223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2、点击修改按键进入项目注册页面如下图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770" cy="2125345"/>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1770" cy="21253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3、按照项目实际情况完善页面信息，需注意“06项目</w:t>
      </w:r>
      <w:r>
        <w:rPr>
          <w:rFonts w:hint="eastAsia"/>
          <w:lang w:val="en-US" w:eastAsia="zh-CN"/>
        </w:rPr>
        <w:tab/>
      </w:r>
      <w:r>
        <w:rPr>
          <w:rFonts w:hint="eastAsia"/>
          <w:lang w:val="en-US" w:eastAsia="zh-CN"/>
        </w:rPr>
        <w:t>招标主体信息”中是否关联甲方账号（</w:t>
      </w:r>
      <w:r>
        <w:rPr>
          <w:rFonts w:hint="eastAsia"/>
          <w:b/>
          <w:bCs/>
          <w:lang w:val="en-US" w:eastAsia="zh-CN"/>
        </w:rPr>
        <w:t>此处显示招标人模块即为已关联</w:t>
      </w:r>
      <w:r>
        <w:rPr>
          <w:rFonts w:hint="eastAsia"/>
          <w:lang w:val="en-US" w:eastAsia="zh-CN"/>
        </w:rPr>
        <w:t>），</w:t>
      </w:r>
      <w:r>
        <w:rPr>
          <w:rFonts w:hint="eastAsia"/>
          <w:b/>
          <w:bCs/>
          <w:lang w:val="en-US" w:eastAsia="zh-CN"/>
        </w:rPr>
        <w:t>如此处只有招标代理模块无招标人模块</w:t>
      </w:r>
      <w:r>
        <w:rPr>
          <w:rFonts w:hint="eastAsia"/>
          <w:lang w:val="en-US" w:eastAsia="zh-CN"/>
        </w:rPr>
        <w:t>，点击“新增招标人”，在“单位名称”中输入招标人名称进行搜索（可关键字检索），勾选后点击“确认选择”，此时招标人模块出现，项目已关联至招标人账号。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eastAsia="宋体"/>
          <w:b/>
          <w:bCs/>
          <w:lang w:val="en-US" w:eastAsia="zh-CN"/>
        </w:rPr>
      </w:pPr>
      <w:r>
        <w:rPr>
          <w:rFonts w:hint="eastAsia"/>
          <w:b/>
          <w:bCs/>
          <w:lang w:val="en-US" w:eastAsia="zh-CN"/>
        </w:rPr>
        <w:t>如果“06项目</w:t>
      </w:r>
      <w:r>
        <w:rPr>
          <w:rFonts w:hint="eastAsia"/>
          <w:b/>
          <w:bCs/>
          <w:lang w:val="en-US" w:eastAsia="zh-CN"/>
        </w:rPr>
        <w:tab/>
      </w:r>
      <w:r>
        <w:rPr>
          <w:rFonts w:hint="eastAsia"/>
          <w:b/>
          <w:bCs/>
          <w:lang w:val="en-US" w:eastAsia="zh-CN"/>
        </w:rPr>
        <w:t>招标主体信息”显示招标人模块则无需进行关联操作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92045"/>
            <wp:effectExtent l="0" t="0" r="1016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66690" cy="2392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4、确认信息填写无误，点击“提交信息”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492250"/>
            <wp:effectExtent l="0" t="0" r="1016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66690" cy="1492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5、在意见框内输入意见后，点击“确认提交”，此时状态变为审核通过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225040"/>
            <wp:effectExtent l="0" t="0" r="1016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66690" cy="22250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188085"/>
            <wp:effectExtent l="0" t="0" r="1016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66690" cy="11880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pStyle w:val="4"/>
        <w:bidi w:val="0"/>
        <w:rPr>
          <w:rFonts w:hint="default"/>
          <w:lang w:val="en-US" w:eastAsia="zh-CN"/>
        </w:rPr>
      </w:pPr>
      <w:bookmarkStart w:id="17" w:name="_Toc32705"/>
      <w:r>
        <w:rPr>
          <w:rFonts w:hint="eastAsia"/>
          <w:lang w:val="en-US" w:eastAsia="zh-CN"/>
        </w:rPr>
        <w:t>招标项目</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项目已从建设云同步至交易平台，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完善招标项目信息；无审核流程；</w:t>
      </w:r>
      <w:r>
        <w:rPr>
          <w:rFonts w:hint="eastAsia"/>
          <w:b/>
          <w:bCs/>
          <w:color w:val="FF0000"/>
          <w:lang w:val="en-US" w:eastAsia="zh-CN"/>
        </w:rPr>
        <w:t>注意！无审核流程，提交就通过，无法再修改，请仔细填写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1、点击“工程业务→招标方案→招标项目”，进入招标项目页面，可看到已同步至交易平台的招标项目信息，状态为编辑中，如下图：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165860"/>
            <wp:effectExtent l="0" t="0" r="1016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66690" cy="11658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2、点击修改按键进入招标项目页面，可看到已同步至交易平台的标段信息，如下图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161540"/>
            <wp:effectExtent l="0" t="0" r="1016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66690" cy="21615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3、点击修改按键进入标段页面如下图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C00000"/>
          <w:lang w:val="en-US" w:eastAsia="zh-CN"/>
        </w:rPr>
      </w:pPr>
      <w:r>
        <w:rPr>
          <w:rFonts w:hint="eastAsia"/>
          <w:b/>
          <w:bCs/>
          <w:color w:val="C00000"/>
          <w:lang w:val="en-US" w:eastAsia="zh-CN"/>
        </w:rPr>
        <w:t>注意：房建市政类项目标段需从建设云同步，不要在交易平台新建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采用网上招投标：选“是”则使用塔城地区交易平台电子投标、开标、评标，选“否”则非交易平台电子投标、评标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186305"/>
            <wp:effectExtent l="0" t="0" r="10160" b="44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5"/>
                    <a:stretch>
                      <a:fillRect/>
                    </a:stretch>
                  </pic:blipFill>
                  <pic:spPr>
                    <a:xfrm>
                      <a:off x="0" y="0"/>
                      <a:ext cx="5266690" cy="21863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4、按照实际情况完善招标项目及标段信息，确认无误后点击提交即可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pStyle w:val="4"/>
        <w:bidi w:val="0"/>
        <w:rPr>
          <w:rFonts w:hint="default"/>
          <w:lang w:val="en-US" w:eastAsia="zh-CN"/>
        </w:rPr>
      </w:pPr>
      <w:bookmarkStart w:id="18" w:name="_Toc15776"/>
      <w:r>
        <w:rPr>
          <w:rFonts w:hint="eastAsia"/>
          <w:lang w:val="en-US" w:eastAsia="zh-CN"/>
        </w:rPr>
        <w:t>开评标场地预约</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招标项目状态为审核通过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预约开评标场地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b w:val="0"/>
          <w:bCs w:val="0"/>
          <w:lang w:val="en-US" w:eastAsia="zh-CN"/>
        </w:rPr>
      </w:pPr>
      <w:r>
        <w:rPr>
          <w:rFonts w:hint="eastAsia"/>
          <w:b w:val="0"/>
          <w:bCs w:val="0"/>
          <w:lang w:val="en-US" w:eastAsia="zh-CN"/>
        </w:rPr>
        <w:t>1、</w:t>
      </w:r>
      <w:r>
        <w:rPr>
          <w:rFonts w:hint="eastAsia"/>
          <w:lang w:val="en-US" w:eastAsia="zh-CN"/>
        </w:rPr>
        <w:t>点击“工程业务→发标→开评标场地预约”，进入开评标场地预约界面，如下图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198880"/>
            <wp:effectExtent l="0" t="0" r="10160" b="127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6"/>
                    <a:stretch>
                      <a:fillRect/>
                    </a:stretch>
                  </pic:blipFill>
                  <pic:spPr>
                    <a:xfrm>
                      <a:off x="0" y="0"/>
                      <a:ext cx="5266690" cy="1198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2、点击“新增开标场地”按键进入“挑选标段（包）”页面。如下图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注意：此处可以多选一个项目下的所有标段。【建议多个标段分开预约】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4150" cy="2313305"/>
            <wp:effectExtent l="0" t="0" r="12700" b="1079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7"/>
                    <a:srcRect t="3504" b="1947"/>
                    <a:stretch>
                      <a:fillRect/>
                    </a:stretch>
                  </pic:blipFill>
                  <pic:spPr>
                    <a:xfrm>
                      <a:off x="0" y="0"/>
                      <a:ext cx="5264150" cy="23133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3、选择相应的标段（包），点击“确定选择”按钮，进入“开评标场地预约”页面。选取开标时间，需要点击保存。确定之后点击提交信息按钮。如下图：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“03场地使用信息”可查看场地占用情况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如是远程异地评标项目则勾选“远程评标项目”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211705"/>
            <wp:effectExtent l="0" t="0" r="10160" b="1714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8"/>
                    <a:srcRect t="5094" b="3918"/>
                    <a:stretch>
                      <a:fillRect/>
                    </a:stretch>
                  </pic:blipFill>
                  <pic:spPr>
                    <a:xfrm>
                      <a:off x="0" y="0"/>
                      <a:ext cx="5266690" cy="22117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4、按照实际情况完善页面信息，确认无误后点击提交审核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pStyle w:val="4"/>
        <w:bidi w:val="0"/>
        <w:rPr>
          <w:rFonts w:hint="default"/>
          <w:lang w:val="en-US" w:eastAsia="zh-CN"/>
        </w:rPr>
      </w:pPr>
      <w:bookmarkStart w:id="19" w:name="_Toc22803"/>
      <w:r>
        <w:rPr>
          <w:rFonts w:hint="eastAsia"/>
          <w:lang w:val="en-US" w:eastAsia="zh-CN"/>
        </w:rPr>
        <w:t>开评标场地变更</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开评标场地预约状态为审核通过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变更开标时间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1、点击“工程业务→发标→开评标场地变更”，进入开评标场地变更界面，如下图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360805"/>
            <wp:effectExtent l="0" t="0" r="10160" b="1079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9"/>
                    <a:stretch>
                      <a:fillRect/>
                    </a:stretch>
                  </pic:blipFill>
                  <pic:spPr>
                    <a:xfrm>
                      <a:off x="0" y="0"/>
                      <a:ext cx="5266690" cy="13608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2、点击“新增开评标场地变更”按钮，进入“挑选标段（包）”页面。如下图：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36800"/>
            <wp:effectExtent l="0" t="0" r="10160" b="635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0"/>
                    <a:srcRect b="3081"/>
                    <a:stretch>
                      <a:fillRect/>
                    </a:stretch>
                  </pic:blipFill>
                  <pic:spPr>
                    <a:xfrm>
                      <a:off x="0" y="0"/>
                      <a:ext cx="5266690" cy="23368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3、选择相应的标段（包），点击“确定选择”按钮，进入“开评标场地变更”页面。可选择变更时间及变更场地，并填写变更原因，如下图：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color w:val="FF0000"/>
          <w:lang w:val="en-US" w:eastAsia="zh-CN"/>
        </w:rPr>
      </w:pPr>
      <w:r>
        <w:rPr>
          <w:rFonts w:hint="eastAsia"/>
          <w:b/>
          <w:bCs/>
          <w:color w:val="FF0000"/>
          <w:lang w:val="en-US" w:eastAsia="zh-CN"/>
        </w:rPr>
        <w:t>如多标段预约同一场地，其中某一标段开评标延期而其余标段开评标时间不变，请先走“开评标场地取消”，对标段重新预约时间以实现某一标段变更的目的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14270"/>
            <wp:effectExtent l="0" t="0" r="10160" b="508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1"/>
                    <a:stretch>
                      <a:fillRect/>
                    </a:stretch>
                  </pic:blipFill>
                  <pic:spPr>
                    <a:xfrm>
                      <a:off x="0" y="0"/>
                      <a:ext cx="5266690" cy="2414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4、按照实际情况完善页面信息，确认无误后点击提交审核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pStyle w:val="4"/>
        <w:bidi w:val="0"/>
        <w:rPr>
          <w:rFonts w:hint="default"/>
          <w:lang w:val="en-US" w:eastAsia="zh-CN"/>
        </w:rPr>
      </w:pPr>
      <w:bookmarkStart w:id="20" w:name="_Toc2938"/>
      <w:r>
        <w:rPr>
          <w:rFonts w:hint="eastAsia"/>
          <w:lang w:val="en-US" w:eastAsia="zh-CN"/>
        </w:rPr>
        <w:t>开评标场地取消</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开评标场地预约状态为审核通过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取消标段场地预约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1、点击“工程业务→发标→开评标场地取消”，进入开评标场地取消界面，如下图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404620"/>
            <wp:effectExtent l="0" t="0" r="10160" b="508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2"/>
                    <a:stretch>
                      <a:fillRect/>
                    </a:stretch>
                  </pic:blipFill>
                  <pic:spPr>
                    <a:xfrm>
                      <a:off x="0" y="0"/>
                      <a:ext cx="5266690" cy="14046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2、点击“新增开评标场地取消”按钮，进入“挑选标段（包）”页面。如下图：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23465"/>
            <wp:effectExtent l="0" t="0" r="10160" b="63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3"/>
                    <a:stretch>
                      <a:fillRect/>
                    </a:stretch>
                  </pic:blipFill>
                  <pic:spPr>
                    <a:xfrm>
                      <a:off x="0" y="0"/>
                      <a:ext cx="5266690" cy="23234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3、选择相应的标段（包），点击“确定选择”按钮，进入“开评标场地取消”页面，填写取消场地原因，如下图：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183765"/>
            <wp:effectExtent l="0" t="0" r="10160" b="698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4"/>
                    <a:stretch>
                      <a:fillRect/>
                    </a:stretch>
                  </pic:blipFill>
                  <pic:spPr>
                    <a:xfrm>
                      <a:off x="0" y="0"/>
                      <a:ext cx="5266690" cy="21837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4、按照实际情况完善页面信息，确认无误后点击提交审核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pStyle w:val="4"/>
        <w:bidi w:val="0"/>
        <w:rPr>
          <w:rFonts w:hint="default"/>
          <w:lang w:val="en-US" w:eastAsia="zh-CN"/>
        </w:rPr>
      </w:pPr>
      <w:bookmarkStart w:id="21" w:name="_Toc6710"/>
      <w:r>
        <w:rPr>
          <w:rFonts w:hint="eastAsia"/>
          <w:lang w:val="en-US" w:eastAsia="zh-CN"/>
        </w:rPr>
        <w:t>招标公告</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开评标场地预约状态为审核通过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编制并发布招标公告（</w:t>
      </w:r>
      <w:r>
        <w:rPr>
          <w:rFonts w:hint="eastAsia"/>
          <w:b/>
          <w:bCs/>
          <w:color w:val="FF0000"/>
          <w:lang w:val="en-US" w:eastAsia="zh-CN"/>
        </w:rPr>
        <w:t>需和招标文件同步提交审核</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1、点击“工程业务→投标邀请→招标公告”，进入招标公告列表页面，如下图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039495"/>
            <wp:effectExtent l="0" t="0" r="1016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5"/>
                    <a:stretch>
                      <a:fillRect/>
                    </a:stretch>
                  </pic:blipFill>
                  <pic:spPr>
                    <a:xfrm>
                      <a:off x="0" y="0"/>
                      <a:ext cx="5266690" cy="1039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2、点击“新增招标公告”按钮，进入“挑选标段（包）”页面。如下图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67915"/>
            <wp:effectExtent l="0" t="0" r="1016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6"/>
                    <a:srcRect b="3118"/>
                    <a:stretch>
                      <a:fillRect/>
                    </a:stretch>
                  </pic:blipFill>
                  <pic:spPr>
                    <a:xfrm>
                      <a:off x="0" y="0"/>
                      <a:ext cx="5266690" cy="2367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3、选择相应的标段（包），点击“确定选择”按钮，进入“新增招标公告”页面，按照项目实际情况完善页面信息，如下图：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01公告信息中的公告其他属性需注意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【重发公告和重新招标为异常公告属性，无需勾选】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highlight w:val="none"/>
          <w:lang w:val="en-US" w:eastAsia="zh-CN"/>
        </w:rPr>
      </w:pPr>
      <w:r>
        <w:rPr>
          <w:rFonts w:hint="eastAsia"/>
          <w:b/>
          <w:bCs/>
          <w:lang w:val="en-US" w:eastAsia="zh-CN"/>
        </w:rPr>
        <w:t>【提供网上报名】如取消勾选则投标人无法线上领取招标文件，</w:t>
      </w:r>
      <w:r>
        <w:rPr>
          <w:rFonts w:hint="eastAsia"/>
          <w:b/>
          <w:bCs/>
          <w:color w:val="FF0000"/>
          <w:highlight w:val="none"/>
          <w:lang w:val="en-US" w:eastAsia="zh-CN"/>
        </w:rPr>
        <w:t>请勿取消勾选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highlight w:val="none"/>
          <w:lang w:val="en-US" w:eastAsia="zh-CN"/>
        </w:rPr>
      </w:pPr>
      <w:r>
        <w:rPr>
          <w:rFonts w:hint="eastAsia"/>
          <w:b/>
          <w:bCs/>
          <w:highlight w:val="none"/>
          <w:lang w:val="en-US" w:eastAsia="zh-CN"/>
        </w:rPr>
        <w:t>【提供联合体报名】如取消勾选则下面的文本框会隐藏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highlight w:val="none"/>
          <w:lang w:val="en-US" w:eastAsia="zh-CN"/>
        </w:rPr>
      </w:pPr>
      <w:r>
        <w:rPr>
          <w:rFonts w:hint="eastAsia"/>
          <w:b/>
          <w:bCs/>
          <w:highlight w:val="none"/>
          <w:lang w:val="en-US" w:eastAsia="zh-CN"/>
        </w:rPr>
        <w:t>【需要项目负责人】如取消沟通则投标人无需选择项目负责人即可领取文件，无法锁定建造师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205990"/>
            <wp:effectExtent l="0" t="0" r="10160"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7"/>
                    <a:srcRect b="10441"/>
                    <a:stretch>
                      <a:fillRect/>
                    </a:stretch>
                  </pic:blipFill>
                  <pic:spPr>
                    <a:xfrm>
                      <a:off x="0" y="0"/>
                      <a:ext cx="5266690" cy="22059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【以模板生成公告】即页面信息填入模板并生成招标公告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【以公告内容生成公告】即手动编辑公告，下方附件按照手动编辑内容生成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055" cy="2302510"/>
            <wp:effectExtent l="0" t="0" r="10795" b="25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8"/>
                    <a:srcRect b="3972"/>
                    <a:stretch>
                      <a:fillRect/>
                    </a:stretch>
                  </pic:blipFill>
                  <pic:spPr>
                    <a:xfrm>
                      <a:off x="0" y="0"/>
                      <a:ext cx="5266055" cy="23025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4、按照实际情况完善页面信息，确认无误后点击提交审核</w:t>
      </w:r>
    </w:p>
    <w:p>
      <w:pPr>
        <w:pStyle w:val="4"/>
        <w:bidi w:val="0"/>
        <w:rPr>
          <w:rFonts w:hint="default"/>
          <w:lang w:val="en-US" w:eastAsia="zh-CN"/>
        </w:rPr>
      </w:pPr>
      <w:bookmarkStart w:id="22" w:name="_Toc8091"/>
      <w:r>
        <w:rPr>
          <w:rFonts w:hint="eastAsia"/>
          <w:lang w:val="en-US" w:eastAsia="zh-CN"/>
        </w:rPr>
        <w:t>变更公告</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招标公告状态为审核通过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编制并发布变更公告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1、点击“工程业务→投标邀请→变更公告”，进入变更公告列表页面，如下图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007745"/>
            <wp:effectExtent l="0" t="0" r="10160"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9"/>
                    <a:srcRect b="11686"/>
                    <a:stretch>
                      <a:fillRect/>
                    </a:stretch>
                  </pic:blipFill>
                  <pic:spPr>
                    <a:xfrm>
                      <a:off x="0" y="0"/>
                      <a:ext cx="5266690" cy="10077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2、点击“新增变更公告”按钮，进入“挑选招标公告”页面。如下图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4150" cy="2352040"/>
            <wp:effectExtent l="0" t="0" r="12700" b="1016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0"/>
                    <a:srcRect b="2243"/>
                    <a:stretch>
                      <a:fillRect/>
                    </a:stretch>
                  </pic:blipFill>
                  <pic:spPr>
                    <a:xfrm>
                      <a:off x="0" y="0"/>
                      <a:ext cx="5264150" cy="23520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注意：如第二次发布变更公告，挑选不到公告，右上角“挑选状态”选为“已挑选”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6850" cy="938530"/>
            <wp:effectExtent l="0" t="0" r="0" b="1397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41"/>
                    <a:stretch>
                      <a:fillRect/>
                    </a:stretch>
                  </pic:blipFill>
                  <pic:spPr>
                    <a:xfrm>
                      <a:off x="0" y="0"/>
                      <a:ext cx="5276850" cy="9385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3、选择相应的招标公告，点击“确定选择”按钮，进入“新增变更公告”页面，按照项目实际情况完善页面信息，如下图：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color w:val="FF0000"/>
          <w:lang w:val="en-US" w:eastAsia="zh-CN"/>
        </w:rPr>
      </w:pPr>
      <w:r>
        <w:rPr>
          <w:rFonts w:hint="eastAsia"/>
          <w:b/>
          <w:bCs/>
          <w:color w:val="FF0000"/>
          <w:lang w:val="en-US" w:eastAsia="zh-CN"/>
        </w:rPr>
        <w:t>如只发布相关说明，未变更开标时间，则03变更时间无需改动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color w:val="FF0000"/>
          <w:lang w:val="en-US" w:eastAsia="zh-CN"/>
        </w:rPr>
        <w:t>如变更了开标时间，则03变更时间中的信息需维护为变更后时间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67280"/>
            <wp:effectExtent l="0" t="0" r="10160" b="1397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42"/>
                    <a:stretch>
                      <a:fillRect/>
                    </a:stretch>
                  </pic:blipFill>
                  <pic:spPr>
                    <a:xfrm>
                      <a:off x="0" y="0"/>
                      <a:ext cx="5266690" cy="2367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4、按照实际情况完善页面信息，确认无误后点击提交审核</w:t>
      </w:r>
    </w:p>
    <w:p>
      <w:pPr>
        <w:pStyle w:val="4"/>
        <w:bidi w:val="0"/>
        <w:rPr>
          <w:rFonts w:hint="default"/>
          <w:lang w:val="en-US" w:eastAsia="zh-CN"/>
        </w:rPr>
      </w:pPr>
      <w:bookmarkStart w:id="23" w:name="_Toc20560"/>
      <w:r>
        <w:rPr>
          <w:rFonts w:hint="eastAsia"/>
          <w:lang w:val="en-US" w:eastAsia="zh-CN"/>
        </w:rPr>
        <w:t>招标文件</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开评标场地预约状态为审核通过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编制并发布招标文件（</w:t>
      </w:r>
      <w:r>
        <w:rPr>
          <w:rFonts w:hint="eastAsia"/>
          <w:b/>
          <w:bCs/>
          <w:color w:val="FF0000"/>
          <w:lang w:val="en-US" w:eastAsia="zh-CN"/>
        </w:rPr>
        <w:t>需和招标公告同步提交审核</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1、点击“工程业务→发标→招标文件”，进入招标文件列表页面，如下图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396365"/>
            <wp:effectExtent l="0" t="0" r="10160" b="1333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43"/>
                    <a:stretch>
                      <a:fillRect/>
                    </a:stretch>
                  </pic:blipFill>
                  <pic:spPr>
                    <a:xfrm>
                      <a:off x="0" y="0"/>
                      <a:ext cx="5266690" cy="13963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b/>
          <w:bCs/>
          <w:color w:val="auto"/>
          <w:lang w:val="en-US" w:eastAsia="zh-CN"/>
        </w:rPr>
      </w:pPr>
      <w:r>
        <w:rPr>
          <w:rFonts w:hint="eastAsia"/>
          <w:lang w:val="en-US" w:eastAsia="zh-CN"/>
        </w:rPr>
        <w:t>2、点击“新增招标文件”按钮，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54910"/>
            <wp:effectExtent l="0" t="0" r="10160" b="254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44"/>
                    <a:stretch>
                      <a:fillRect/>
                    </a:stretch>
                  </pic:blipFill>
                  <pic:spPr>
                    <a:xfrm>
                      <a:off x="0" y="0"/>
                      <a:ext cx="5266690" cy="24549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，点击“确定选择”按钮，进入“新增招标文件”页面，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color w:val="FF0000"/>
          <w:sz w:val="24"/>
          <w:szCs w:val="32"/>
          <w:lang w:val="en-US" w:eastAsia="zh-CN"/>
        </w:rPr>
      </w:pPr>
      <w:r>
        <w:rPr>
          <w:rFonts w:hint="eastAsia"/>
          <w:b/>
          <w:bCs/>
          <w:color w:val="FF0000"/>
          <w:sz w:val="24"/>
          <w:szCs w:val="32"/>
          <w:lang w:val="en-US" w:eastAsia="zh-CN"/>
        </w:rPr>
        <w:t>按照项目实际情况选择A或者B步骤进行操作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color w:val="FF0000"/>
          <w:lang w:val="en-US" w:eastAsia="zh-CN"/>
        </w:rPr>
        <w:t>A、线下纸质开评标或使用</w:t>
      </w:r>
      <w:r>
        <w:rPr>
          <w:rFonts w:hint="eastAsia"/>
          <w:b/>
          <w:bCs/>
          <w:color w:val="FF0000"/>
          <w:sz w:val="28"/>
          <w:szCs w:val="36"/>
          <w:lang w:val="en-US" w:eastAsia="zh-CN"/>
        </w:rPr>
        <w:t>非</w:t>
      </w:r>
      <w:r>
        <w:rPr>
          <w:rFonts w:hint="eastAsia"/>
          <w:b/>
          <w:bCs/>
          <w:color w:val="FF0000"/>
          <w:lang w:val="en-US" w:eastAsia="zh-CN"/>
        </w:rPr>
        <w:t>塔城地区公共资源交易平台电子评标系统评标的项目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按照项目实际情况完善页面信息，在05附件信息中点击“上传”，从本机将项目招标文件及相关材料上传至系统中，确认无误后点击提交审核。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16810"/>
            <wp:effectExtent l="0" t="0" r="10160" b="254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45"/>
                    <a:stretch>
                      <a:fillRect/>
                    </a:stretch>
                  </pic:blipFill>
                  <pic:spPr>
                    <a:xfrm>
                      <a:off x="0" y="0"/>
                      <a:ext cx="5266690" cy="24168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color w:val="FF0000"/>
          <w:lang w:val="en-US" w:eastAsia="zh-CN"/>
        </w:rPr>
        <w:t>B、在塔城地区交易平台电子投标、开标、评标的项目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按照项目实际情况完善页面信息后，点击04保证金及工本费信息中的“制作”按键，进入招标文件模板选择页面，如下图：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4150" cy="1810385"/>
            <wp:effectExtent l="0" t="0" r="1270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264150" cy="1810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712720"/>
            <wp:effectExtent l="0" t="0" r="1016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7"/>
                    <a:stretch>
                      <a:fillRect/>
                    </a:stretch>
                  </pic:blipFill>
                  <pic:spPr>
                    <a:xfrm>
                      <a:off x="0" y="0"/>
                      <a:ext cx="5266690" cy="2712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选择相应的招标文件范本，点击“确定选择”按钮，进入招标文件制作页面（下面以施工招标文件进行操作演示），按照项目实际情况完善招标文件中【封面】【招标公告】等节点的信息，如下图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180590"/>
            <wp:effectExtent l="0" t="0" r="10160" b="1016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48"/>
                    <a:stretch>
                      <a:fillRect/>
                    </a:stretch>
                  </pic:blipFill>
                  <pic:spPr>
                    <a:xfrm>
                      <a:off x="0" y="0"/>
                      <a:ext cx="5266690" cy="218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lang w:val="en-US" w:eastAsia="zh-CN"/>
        </w:rPr>
        <w:t>【评标办法】</w:t>
      </w:r>
      <w:r>
        <w:rPr>
          <w:rFonts w:hint="eastAsia"/>
          <w:lang w:val="en-US" w:eastAsia="zh-CN"/>
        </w:rPr>
        <w:t>选择对应的评标办法，点击“保存”即加载评标办法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C00000"/>
          <w:lang w:val="en-US" w:eastAsia="zh-CN"/>
        </w:rPr>
      </w:pPr>
      <w:r>
        <w:rPr>
          <w:rFonts w:hint="eastAsia"/>
          <w:b/>
          <w:bCs/>
          <w:color w:val="C00000"/>
          <w:lang w:val="en-US" w:eastAsia="zh-CN"/>
        </w:rPr>
        <w:t>注意：如已编辑好评标办法再点击“保存”，会重新加载评标办法，即重置为评标办法模板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294765"/>
            <wp:effectExtent l="0" t="0" r="10160" b="63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49"/>
                    <a:stretch>
                      <a:fillRect/>
                    </a:stretch>
                  </pic:blipFill>
                  <pic:spPr>
                    <a:xfrm>
                      <a:off x="0" y="0"/>
                      <a:ext cx="5266690" cy="12947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按照项目实际情况设置经济标及技术标得分权重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673225"/>
            <wp:effectExtent l="0" t="0" r="10160" b="317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50"/>
                    <a:stretch>
                      <a:fillRect/>
                    </a:stretch>
                  </pic:blipFill>
                  <pic:spPr>
                    <a:xfrm>
                      <a:off x="0" y="0"/>
                      <a:ext cx="5266690" cy="1673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所有评审项均为招标文件范本中的评标办法原文，可点击修改按钮进行修改、点击删除按钮删除该评审项、点击“新增评分点”按钮在当前评审环节下新增评分点。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703705"/>
            <wp:effectExtent l="0" t="0" r="10160"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51"/>
                    <a:stretch>
                      <a:fillRect/>
                    </a:stretch>
                  </pic:blipFill>
                  <pic:spPr>
                    <a:xfrm>
                      <a:off x="0" y="0"/>
                      <a:ext cx="5266690" cy="17037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如需进行修改，点击修改按键，进行文本编辑修改后点击保存即可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063115"/>
            <wp:effectExtent l="0" t="0" r="10160" b="1333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52"/>
                    <a:stretch>
                      <a:fillRect/>
                    </a:stretch>
                  </pic:blipFill>
                  <pic:spPr>
                    <a:xfrm>
                      <a:off x="0" y="0"/>
                      <a:ext cx="5266690" cy="20631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eastAsia="宋体"/>
          <w:b/>
          <w:bCs/>
          <w:color w:val="C00000"/>
          <w:lang w:val="en-US" w:eastAsia="zh-CN"/>
        </w:rPr>
      </w:pPr>
      <w:r>
        <w:rPr>
          <w:rFonts w:hint="eastAsia"/>
          <w:b/>
          <w:bCs/>
          <w:color w:val="FF0000"/>
          <w:lang w:val="en-US" w:eastAsia="zh-CN"/>
        </w:rPr>
        <w:t>注意：</w:t>
      </w:r>
      <w:r>
        <w:rPr>
          <w:rFonts w:hint="eastAsia"/>
          <w:b w:val="0"/>
          <w:bCs w:val="0"/>
          <w:color w:val="auto"/>
          <w:lang w:val="en-US" w:eastAsia="zh-CN"/>
        </w:rPr>
        <w:t>所有招标文件范本评标办法中，</w:t>
      </w:r>
      <w:r>
        <w:rPr>
          <w:rFonts w:hint="eastAsia"/>
          <w:b/>
          <w:bCs/>
          <w:color w:val="FF0000"/>
          <w:lang w:val="en-US" w:eastAsia="zh-CN"/>
        </w:rPr>
        <w:t>打分方式为自动算分的</w:t>
      </w:r>
      <w:r>
        <w:rPr>
          <w:rFonts w:hint="eastAsia"/>
          <w:lang w:val="en-US" w:eastAsia="zh-CN"/>
        </w:rPr>
        <w:t>，点击修改按钮可进行分值数值及文本描述的修改，</w:t>
      </w:r>
      <w:r>
        <w:rPr>
          <w:rFonts w:hint="eastAsia"/>
          <w:b/>
          <w:bCs/>
          <w:color w:val="FF0000"/>
          <w:sz w:val="24"/>
          <w:szCs w:val="32"/>
          <w:lang w:val="en-US" w:eastAsia="zh-CN"/>
        </w:rPr>
        <w:t>但</w:t>
      </w:r>
      <w:r>
        <w:rPr>
          <w:rFonts w:hint="eastAsia"/>
          <w:b/>
          <w:bCs/>
          <w:color w:val="FF0000"/>
          <w:lang w:val="en-US" w:eastAsia="zh-CN"/>
        </w:rPr>
        <w:t>基准值公式、扣分公式及打分方式，不要进行改动，如因改动这三项导致评标无法进行的，自行承担后果。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4150" cy="1423670"/>
            <wp:effectExtent l="0" t="0" r="12700" b="508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53"/>
                    <a:stretch>
                      <a:fillRect/>
                    </a:stretch>
                  </pic:blipFill>
                  <pic:spPr>
                    <a:xfrm>
                      <a:off x="0" y="0"/>
                      <a:ext cx="5264150" cy="14236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194560"/>
            <wp:effectExtent l="0" t="0" r="10160" b="1524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54"/>
                    <a:stretch>
                      <a:fillRect/>
                    </a:stretch>
                  </pic:blipFill>
                  <pic:spPr>
                    <a:xfrm>
                      <a:off x="0" y="0"/>
                      <a:ext cx="5266690" cy="2194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【工程量清单】点击“上传清单”按钮从本地将工程量清单上传至系统中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注意：房建市政类施工清单需上传2.3公开接口.xjzb后缀文件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267460"/>
            <wp:effectExtent l="0" t="0" r="10160" b="889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55"/>
                    <a:stretch>
                      <a:fillRect/>
                    </a:stretch>
                  </pic:blipFill>
                  <pic:spPr>
                    <a:xfrm>
                      <a:off x="0" y="0"/>
                      <a:ext cx="5266690" cy="12674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【图纸】点击“新增”按钮新增文件节点（即对图纸类型区分，如只有一类则新增一个节点即可，节点名称按照类型命名即可），选中文件节点点击“上传”按钮从本机将对应文件上传至系统中。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6690" cy="1253490"/>
            <wp:effectExtent l="0" t="0" r="10160" b="381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56"/>
                    <a:stretch>
                      <a:fillRect/>
                    </a:stretch>
                  </pic:blipFill>
                  <pic:spPr>
                    <a:xfrm>
                      <a:off x="0" y="0"/>
                      <a:ext cx="5266690" cy="12534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【投标文件组成设置】如下，点击“新增投标文件组成节点”可添加投标文件组成节点（即投标人上传对应文件节点）；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点击“初始化”则重置投标组成节点及模板；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“是否选择”下如取消勾选，则投标人无需上传该节点文件（就是投标人看不到这个节点的文件，也没有上传这个节点文件的地方，系统默认勾选，按照项目实际情况进行操作）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点击“预览”可查看该投标文件节点的投标所需文件模板，可进行修改。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515235"/>
            <wp:effectExtent l="0" t="0" r="10160" b="1841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57"/>
                    <a:stretch>
                      <a:fillRect/>
                    </a:stretch>
                  </pic:blipFill>
                  <pic:spPr>
                    <a:xfrm>
                      <a:off x="0" y="0"/>
                      <a:ext cx="5266690" cy="2515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172845"/>
            <wp:effectExtent l="0" t="0" r="10160" b="825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58"/>
                    <a:srcRect b="31262"/>
                    <a:stretch>
                      <a:fillRect/>
                    </a:stretch>
                  </pic:blipFill>
                  <pic:spPr>
                    <a:xfrm>
                      <a:off x="0" y="0"/>
                      <a:ext cx="5266690" cy="11728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【生成招标文件】进行文件转换、签章后，点击“生成招标文件”进行最终的文件生成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注意：生成后可点击左下角的“快捷功能”在“文件查看”中查看生成的招标文件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79675"/>
            <wp:effectExtent l="0" t="0" r="1016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9"/>
                    <a:stretch>
                      <a:fillRect/>
                    </a:stretch>
                  </pic:blipFill>
                  <pic:spPr>
                    <a:xfrm>
                      <a:off x="0" y="0"/>
                      <a:ext cx="5266690" cy="24796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生成的招标文件同步传入交易平台招标文件页面中的05附件信息下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007870"/>
            <wp:effectExtent l="0" t="0" r="10160" b="1143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60"/>
                    <a:stretch>
                      <a:fillRect/>
                    </a:stretch>
                  </pic:blipFill>
                  <pic:spPr>
                    <a:xfrm>
                      <a:off x="0" y="0"/>
                      <a:ext cx="5266690" cy="2007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4、按照实际情况完善页面信息后，上传或生成了招标文件，确认无误后点击提交审核</w:t>
      </w:r>
    </w:p>
    <w:p>
      <w:pPr>
        <w:pStyle w:val="4"/>
        <w:bidi w:val="0"/>
        <w:rPr>
          <w:rFonts w:hint="default"/>
          <w:lang w:val="en-US" w:eastAsia="zh-CN"/>
        </w:rPr>
      </w:pPr>
      <w:bookmarkStart w:id="24" w:name="_Toc14967"/>
      <w:r>
        <w:rPr>
          <w:rFonts w:hint="eastAsia"/>
          <w:lang w:val="en-US" w:eastAsia="zh-CN"/>
        </w:rPr>
        <w:t>答疑澄清文件</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招标文件状态为审核通过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编制并发布答疑澄清文件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1、点击“工程业务→发标→答疑澄清文件”，进入招标文件列表页面，如下图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470660"/>
            <wp:effectExtent l="0" t="0" r="10160" b="1524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61"/>
                    <a:stretch>
                      <a:fillRect/>
                    </a:stretch>
                  </pic:blipFill>
                  <pic:spPr>
                    <a:xfrm>
                      <a:off x="0" y="0"/>
                      <a:ext cx="5266690" cy="14706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b/>
          <w:bCs/>
          <w:color w:val="auto"/>
          <w:lang w:val="en-US" w:eastAsia="zh-CN"/>
        </w:rPr>
      </w:pPr>
      <w:r>
        <w:rPr>
          <w:rFonts w:hint="eastAsia"/>
          <w:lang w:val="en-US" w:eastAsia="zh-CN"/>
        </w:rPr>
        <w:t>2、点击“新增答疑澄清文件”按钮，</w:t>
      </w:r>
      <w:r>
        <w:rPr>
          <w:rFonts w:hint="eastAsia"/>
          <w:b w:val="0"/>
          <w:bCs w:val="0"/>
          <w:color w:val="auto"/>
          <w:lang w:val="en-US" w:eastAsia="zh-CN"/>
        </w:rPr>
        <w:t>进入挑选招标文件页面，如下图：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59025"/>
            <wp:effectExtent l="0" t="0" r="10160" b="317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2"/>
                    <a:stretch>
                      <a:fillRect/>
                    </a:stretch>
                  </pic:blipFill>
                  <pic:spPr>
                    <a:xfrm>
                      <a:off x="0" y="0"/>
                      <a:ext cx="5266690" cy="23590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w:t>
      </w:r>
      <w:r>
        <w:rPr>
          <w:rFonts w:hint="eastAsia"/>
          <w:b w:val="0"/>
          <w:bCs w:val="0"/>
          <w:color w:val="auto"/>
          <w:lang w:val="en-US" w:eastAsia="zh-CN"/>
        </w:rPr>
        <w:t>招标文件</w:t>
      </w:r>
      <w:r>
        <w:rPr>
          <w:rFonts w:hint="eastAsia"/>
          <w:lang w:val="en-US" w:eastAsia="zh-CN"/>
        </w:rPr>
        <w:t>，点击“确定选择”按钮，进入“新增答疑澄清文件”页面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pPr>
      <w:r>
        <w:rPr>
          <w:rFonts w:hint="eastAsia"/>
          <w:b/>
          <w:bCs/>
          <w:color w:val="FF0000"/>
          <w:sz w:val="24"/>
          <w:szCs w:val="32"/>
          <w:lang w:val="en-US" w:eastAsia="zh-CN"/>
        </w:rPr>
        <w:t>按照项目实际情况,操作同3.19招标文件中A或者B步骤进行操作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022475"/>
            <wp:effectExtent l="0" t="0" r="10160" b="1587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3"/>
                    <a:srcRect b="5349"/>
                    <a:stretch>
                      <a:fillRect/>
                    </a:stretch>
                  </pic:blipFill>
                  <pic:spPr>
                    <a:xfrm>
                      <a:off x="0" y="0"/>
                      <a:ext cx="5266690" cy="2022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4、按照实际情况完善页面信息后，上传或生成了答疑澄清文件，确认无误后点击提交审核。</w:t>
      </w:r>
    </w:p>
    <w:p>
      <w:pPr>
        <w:pStyle w:val="4"/>
        <w:bidi w:val="0"/>
        <w:rPr>
          <w:rFonts w:hint="default"/>
          <w:lang w:val="en-US" w:eastAsia="zh-CN"/>
        </w:rPr>
      </w:pPr>
      <w:bookmarkStart w:id="25" w:name="_Toc2653"/>
      <w:r>
        <w:rPr>
          <w:rFonts w:hint="eastAsia"/>
          <w:lang w:val="en-US" w:eastAsia="zh-CN"/>
        </w:rPr>
        <w:t>招标控制价文件</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招标文件状态为审核通过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编制并发布招标控制价文件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1、点击“工程业务→发标→招标控制价文件”，进入招标控制价文件列表页面，如下图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678940"/>
            <wp:effectExtent l="0" t="0" r="10160" b="1651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64"/>
                    <a:stretch>
                      <a:fillRect/>
                    </a:stretch>
                  </pic:blipFill>
                  <pic:spPr>
                    <a:xfrm>
                      <a:off x="0" y="0"/>
                      <a:ext cx="5266690" cy="16789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2、点击“新增招标控制价”按钮，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06015"/>
            <wp:effectExtent l="0" t="0" r="10160" b="1333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5"/>
                    <a:stretch>
                      <a:fillRect/>
                    </a:stretch>
                  </pic:blipFill>
                  <pic:spPr>
                    <a:xfrm>
                      <a:off x="0" y="0"/>
                      <a:ext cx="5266690" cy="24060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，点击“确定选择”按钮，进入“新增招标控制价文件”页面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注意：房建市政类及交通类项目，控制价文件无需制作，点击“其他附件”后的“上传”按钮将相关文件从本机上传至系统即可。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29180"/>
            <wp:effectExtent l="0" t="0" r="10160" b="1397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66"/>
                    <a:stretch>
                      <a:fillRect/>
                    </a:stretch>
                  </pic:blipFill>
                  <pic:spPr>
                    <a:xfrm>
                      <a:off x="0" y="0"/>
                      <a:ext cx="5266690" cy="2329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4、按照实际情况完善页面信息后，上传了相关文件，确认无误后点击提交审核。</w:t>
      </w:r>
    </w:p>
    <w:p>
      <w:pPr>
        <w:pStyle w:val="4"/>
        <w:bidi w:val="0"/>
        <w:rPr>
          <w:rFonts w:hint="default"/>
          <w:lang w:val="en-US" w:eastAsia="zh-CN"/>
        </w:rPr>
      </w:pPr>
      <w:bookmarkStart w:id="26" w:name="_Toc9737"/>
      <w:r>
        <w:rPr>
          <w:rFonts w:hint="eastAsia"/>
          <w:lang w:val="en-US" w:eastAsia="zh-CN"/>
        </w:rPr>
        <w:t>组建评标委员会</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组建评标委员会（即抽取评标专家）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1、点击“工程业务→发标→组建评标委员会”，进入组建评标委员会列表页面，如下图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821180"/>
            <wp:effectExtent l="0" t="0" r="10160" b="762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67"/>
                    <a:stretch>
                      <a:fillRect/>
                    </a:stretch>
                  </pic:blipFill>
                  <pic:spPr>
                    <a:xfrm>
                      <a:off x="0" y="0"/>
                      <a:ext cx="5266690" cy="1821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2、点击“新增项目”按钮，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46655"/>
            <wp:effectExtent l="0" t="0" r="10160" b="10795"/>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68"/>
                    <a:stretch>
                      <a:fillRect/>
                    </a:stretch>
                  </pic:blipFill>
                  <pic:spPr>
                    <a:xfrm>
                      <a:off x="0" y="0"/>
                      <a:ext cx="5266690" cy="24466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，点击“确定选择”按钮，进入“新增组建评标委员会”页面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lang w:val="en-US" w:eastAsia="zh-CN"/>
        </w:rPr>
        <w:t>进行信息填写。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11095"/>
            <wp:effectExtent l="0" t="0" r="10160" b="825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69"/>
                    <a:stretch>
                      <a:fillRect/>
                    </a:stretch>
                  </pic:blipFill>
                  <pic:spPr>
                    <a:xfrm>
                      <a:off x="0" y="0"/>
                      <a:ext cx="5266690" cy="24110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在“评标委员会”下点击“添加专业”按钮勾选所需评委专业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6690" cy="1363345"/>
            <wp:effectExtent l="0" t="0" r="10160" b="825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70"/>
                    <a:stretch>
                      <a:fillRect/>
                    </a:stretch>
                  </pic:blipFill>
                  <pic:spPr>
                    <a:xfrm>
                      <a:off x="0" y="0"/>
                      <a:ext cx="5266690" cy="13633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专业挑选时请选择四级专业，如勾选二级或三级专业可能会抽到水利、交通类专家（如下图所示，工程类-工程施工-市政工程下有多个四级专业，如勾选市政工程，则市政工程下的所有四级专业专家均有可能被抽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095500"/>
            <wp:effectExtent l="0" t="0" r="10160" b="0"/>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71"/>
                    <a:stretch>
                      <a:fillRect/>
                    </a:stretch>
                  </pic:blipFill>
                  <pic:spPr>
                    <a:xfrm>
                      <a:off x="0" y="0"/>
                      <a:ext cx="5266690" cy="20955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选择专业后在“所需人数”内填写该专业专家数量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注意：满足条件人数为该专业下专家数量，请自行评估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541780"/>
            <wp:effectExtent l="0" t="0" r="10160" b="127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72"/>
                    <a:stretch>
                      <a:fillRect/>
                    </a:stretch>
                  </pic:blipFill>
                  <pic:spPr>
                    <a:xfrm>
                      <a:off x="0" y="0"/>
                      <a:ext cx="5266690" cy="1541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4、按照实际情况完善页面信息后，确认无误后点击提交审核。</w:t>
      </w:r>
    </w:p>
    <w:p>
      <w:pPr>
        <w:pStyle w:val="4"/>
        <w:bidi w:val="0"/>
        <w:rPr>
          <w:rFonts w:hint="default"/>
          <w:lang w:val="en-US" w:eastAsia="zh-CN"/>
        </w:rPr>
      </w:pPr>
      <w:bookmarkStart w:id="27" w:name="_Toc19864"/>
      <w:r>
        <w:rPr>
          <w:rFonts w:hint="eastAsia"/>
          <w:lang w:val="en-US" w:eastAsia="zh-CN"/>
        </w:rPr>
        <w:t>书面报告备案</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评标结束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进行书面报告备案流程</w:t>
      </w:r>
      <w:r>
        <w:rPr>
          <w:rFonts w:hint="eastAsia"/>
          <w:b/>
          <w:bCs/>
          <w:color w:val="FF0000"/>
          <w:lang w:val="en-US" w:eastAsia="zh-CN"/>
        </w:rPr>
        <w:t>注意！无审核流程，提交就通过，无法再修改，请仔细填写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rPr>
          <w:rFonts w:hint="default"/>
          <w:lang w:val="en-US" w:eastAsia="zh-CN"/>
        </w:rPr>
      </w:pPr>
      <w:r>
        <w:rPr>
          <w:rFonts w:hint="eastAsia"/>
          <w:lang w:val="en-US" w:eastAsia="zh-CN"/>
        </w:rPr>
        <w:t>1、点击“工程业务→定标→书面报告备案”，进入书面报告备案列表页面，如下图</w:t>
      </w:r>
    </w:p>
    <w:p>
      <w:pPr>
        <w:ind w:left="0" w:leftChars="0" w:firstLine="0" w:firstLineChars="0"/>
        <w:rPr>
          <w:rFonts w:hint="default"/>
          <w:lang w:val="en-US" w:eastAsia="zh-CN"/>
        </w:rPr>
      </w:pPr>
      <w:r>
        <w:drawing>
          <wp:inline distT="0" distB="0" distL="114300" distR="114300">
            <wp:extent cx="5266690" cy="1840865"/>
            <wp:effectExtent l="0" t="0" r="10160" b="6985"/>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73"/>
                    <a:stretch>
                      <a:fillRect/>
                    </a:stretch>
                  </pic:blipFill>
                  <pic:spPr>
                    <a:xfrm>
                      <a:off x="0" y="0"/>
                      <a:ext cx="5266690" cy="1840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2、点击“新增书面报告备案”按钮，</w:t>
      </w:r>
      <w:r>
        <w:rPr>
          <w:rFonts w:hint="eastAsia"/>
          <w:b w:val="0"/>
          <w:bCs w:val="0"/>
          <w:color w:val="auto"/>
          <w:lang w:val="en-US" w:eastAsia="zh-CN"/>
        </w:rPr>
        <w:t>进入挑选标段（包）页面，如下图：</w:t>
      </w:r>
    </w:p>
    <w:p>
      <w:pPr>
        <w:ind w:left="0" w:leftChars="0" w:firstLine="0" w:firstLineChars="0"/>
        <w:rPr>
          <w:rFonts w:hint="default"/>
          <w:lang w:val="en-US" w:eastAsia="zh-CN"/>
        </w:rPr>
      </w:pPr>
      <w:r>
        <w:drawing>
          <wp:inline distT="0" distB="0" distL="114300" distR="114300">
            <wp:extent cx="5266690" cy="2397760"/>
            <wp:effectExtent l="0" t="0" r="10160" b="254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74"/>
                    <a:stretch>
                      <a:fillRect/>
                    </a:stretch>
                  </pic:blipFill>
                  <pic:spPr>
                    <a:xfrm>
                      <a:off x="0" y="0"/>
                      <a:ext cx="5266690" cy="23977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，点击“确定选择”按钮，进入“新增书面报告备案”页面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lang w:val="en-US" w:eastAsia="zh-CN"/>
        </w:rPr>
      </w:pPr>
      <w:r>
        <w:drawing>
          <wp:inline distT="0" distB="0" distL="114300" distR="114300">
            <wp:extent cx="5266690" cy="2446655"/>
            <wp:effectExtent l="0" t="0" r="10160" b="10795"/>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75"/>
                    <a:stretch>
                      <a:fillRect/>
                    </a:stretch>
                  </pic:blipFill>
                  <pic:spPr>
                    <a:xfrm>
                      <a:off x="0" y="0"/>
                      <a:ext cx="5266690" cy="2446655"/>
                    </a:xfrm>
                    <a:prstGeom prst="rect">
                      <a:avLst/>
                    </a:prstGeom>
                    <a:noFill/>
                    <a:ln>
                      <a:noFill/>
                    </a:ln>
                  </pic:spPr>
                </pic:pic>
              </a:graphicData>
            </a:graphic>
          </wp:inline>
        </w:drawing>
      </w:r>
    </w:p>
    <w:p>
      <w:pPr>
        <w:rPr>
          <w:rFonts w:hint="default"/>
          <w:lang w:val="en-US" w:eastAsia="zh-CN"/>
        </w:rPr>
      </w:pPr>
      <w:r>
        <w:rPr>
          <w:rFonts w:hint="eastAsia"/>
          <w:lang w:val="en-US" w:eastAsia="zh-CN"/>
        </w:rPr>
        <w:t>4、按照行业主管部门要求上传相关材料，确认无误后点击提交即通过。</w:t>
      </w:r>
    </w:p>
    <w:p>
      <w:pPr>
        <w:rPr>
          <w:rFonts w:hint="default"/>
          <w:lang w:val="en-US" w:eastAsia="zh-CN"/>
        </w:rPr>
      </w:pPr>
    </w:p>
    <w:p>
      <w:pPr>
        <w:rPr>
          <w:rFonts w:hint="default"/>
          <w:lang w:val="en-US" w:eastAsia="zh-CN"/>
        </w:rPr>
      </w:pPr>
    </w:p>
    <w:p>
      <w:pPr>
        <w:pStyle w:val="4"/>
        <w:bidi w:val="0"/>
        <w:rPr>
          <w:rFonts w:hint="default"/>
          <w:lang w:val="en-US" w:eastAsia="zh-CN"/>
        </w:rPr>
      </w:pPr>
      <w:bookmarkStart w:id="28" w:name="_Toc20774"/>
      <w:r>
        <w:rPr>
          <w:rFonts w:hint="eastAsia"/>
          <w:lang w:val="en-US" w:eastAsia="zh-CN"/>
        </w:rPr>
        <w:t>中标候选人公示</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完成书面报告备案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发布中标候选人公示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1、点击“工程业务→定标→中标候选人公示”，进入中标候选人公示列表页面，如下图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330325"/>
            <wp:effectExtent l="0" t="0" r="10160" b="317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76"/>
                    <a:stretch>
                      <a:fillRect/>
                    </a:stretch>
                  </pic:blipFill>
                  <pic:spPr>
                    <a:xfrm>
                      <a:off x="0" y="0"/>
                      <a:ext cx="5266690" cy="13303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2、点击“新增中标候选人公示”按钮，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1610" cy="2449830"/>
            <wp:effectExtent l="0" t="0" r="15240" b="762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77"/>
                    <a:stretch>
                      <a:fillRect/>
                    </a:stretch>
                  </pic:blipFill>
                  <pic:spPr>
                    <a:xfrm>
                      <a:off x="0" y="0"/>
                      <a:ext cx="5261610" cy="2449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，点击“确定选择”按钮，进入“新增中标候选人公示”页面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lang w:val="en-US" w:eastAsia="zh-CN"/>
        </w:rPr>
        <w:t>进行信息填写。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964055"/>
            <wp:effectExtent l="0" t="0" r="10160" b="17145"/>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78"/>
                    <a:stretch>
                      <a:fillRect/>
                    </a:stretch>
                  </pic:blipFill>
                  <pic:spPr>
                    <a:xfrm>
                      <a:off x="0" y="0"/>
                      <a:ext cx="5266690" cy="19640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4、按照实际情况完善页面信息后，确认无误后点击提交审核。</w:t>
      </w:r>
    </w:p>
    <w:p>
      <w:pPr>
        <w:pStyle w:val="4"/>
        <w:bidi w:val="0"/>
        <w:rPr>
          <w:rFonts w:hint="default"/>
          <w:lang w:val="en-US" w:eastAsia="zh-CN"/>
        </w:rPr>
      </w:pPr>
      <w:bookmarkStart w:id="29" w:name="_Toc23035"/>
      <w:r>
        <w:rPr>
          <w:rFonts w:hint="eastAsia"/>
          <w:lang w:val="en-US" w:eastAsia="zh-CN"/>
        </w:rPr>
        <w:t>中标结果公告</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中标候选人公示状态为审核通过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发布中标结果公告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1、点击“工程业务→定标→中标结果公告”，进入中标候选人公示列表页面，如下图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478280"/>
            <wp:effectExtent l="0" t="0" r="10160" b="7620"/>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79"/>
                    <a:stretch>
                      <a:fillRect/>
                    </a:stretch>
                  </pic:blipFill>
                  <pic:spPr>
                    <a:xfrm>
                      <a:off x="0" y="0"/>
                      <a:ext cx="5266690" cy="1478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2、点击“新增中标结果公告”按钮，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35860"/>
            <wp:effectExtent l="0" t="0" r="10160" b="2540"/>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pic:cNvPicPr>
                  </pic:nvPicPr>
                  <pic:blipFill>
                    <a:blip r:embed="rId80"/>
                    <a:stretch>
                      <a:fillRect/>
                    </a:stretch>
                  </pic:blipFill>
                  <pic:spPr>
                    <a:xfrm>
                      <a:off x="0" y="0"/>
                      <a:ext cx="5266690" cy="24358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，点击“确定选择”按钮，进入“新增中标结果公告”页面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lang w:val="en-US" w:eastAsia="zh-CN"/>
        </w:rPr>
        <w:t>进行信息填写。点击02中标结果信息中的“操作”按钮，完善中标单位信息。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695450"/>
            <wp:effectExtent l="0" t="0" r="10160" b="0"/>
            <wp:docPr id="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pic:cNvPicPr>
                      <a:picLocks noChangeAspect="1"/>
                    </pic:cNvPicPr>
                  </pic:nvPicPr>
                  <pic:blipFill>
                    <a:blip r:embed="rId81"/>
                    <a:srcRect b="22944"/>
                    <a:stretch>
                      <a:fillRect/>
                    </a:stretch>
                  </pic:blipFill>
                  <pic:spPr>
                    <a:xfrm>
                      <a:off x="0" y="0"/>
                      <a:ext cx="5266690" cy="16954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4、按照实际情况完善页面信息后，确认无误后点击提交审核。</w:t>
      </w:r>
    </w:p>
    <w:p>
      <w:pPr>
        <w:pStyle w:val="4"/>
        <w:bidi w:val="0"/>
        <w:rPr>
          <w:rFonts w:hint="default"/>
          <w:lang w:val="en-US" w:eastAsia="zh-CN"/>
        </w:rPr>
      </w:pPr>
      <w:bookmarkStart w:id="30" w:name="_Toc15982"/>
      <w:r>
        <w:rPr>
          <w:rFonts w:hint="eastAsia"/>
          <w:lang w:val="en-US" w:eastAsia="zh-CN"/>
        </w:rPr>
        <w:t>中标通知书</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中标结果公告状态为审核通过；</w:t>
      </w:r>
      <w:r>
        <w:rPr>
          <w:rFonts w:hint="eastAsia"/>
          <w:b/>
          <w:bCs/>
          <w:color w:val="FF0000"/>
          <w:lang w:val="en-US" w:eastAsia="zh-CN"/>
        </w:rPr>
        <w:t>需招标人账号完成此步骤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发布中标通知书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w:t>
      </w:r>
      <w:r>
        <w:rPr>
          <w:rFonts w:hint="eastAsia"/>
          <w:b w:val="0"/>
          <w:bCs w:val="0"/>
          <w:lang w:val="en-US" w:eastAsia="zh-CN"/>
        </w:rPr>
        <w:t>招标人登录进入</w:t>
      </w:r>
      <w:r>
        <w:rPr>
          <w:rFonts w:hint="eastAsia"/>
          <w:lang w:val="en-US" w:eastAsia="zh-CN"/>
        </w:rPr>
        <w:t>交易平台</w:t>
      </w:r>
    </w:p>
    <w:p>
      <w:pPr>
        <w:widowControl w:val="0"/>
        <w:numPr>
          <w:ilvl w:val="0"/>
          <w:numId w:val="0"/>
        </w:numPr>
        <w:spacing w:line="360" w:lineRule="auto"/>
        <w:rPr>
          <w:rFonts w:hint="eastAsia"/>
          <w:lang w:val="en-US" w:eastAsia="zh-CN"/>
        </w:rPr>
      </w:pPr>
      <w:r>
        <w:drawing>
          <wp:inline distT="0" distB="0" distL="114300" distR="114300">
            <wp:extent cx="5266690" cy="1895475"/>
            <wp:effectExtent l="0" t="0" r="1016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266690" cy="1895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2、点击“工程业务→定标→中标通知书”，进入中标候选人公示列表页面，如下图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571625"/>
            <wp:effectExtent l="0" t="0" r="10160" b="952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82"/>
                    <a:stretch>
                      <a:fillRect/>
                    </a:stretch>
                  </pic:blipFill>
                  <pic:spPr>
                    <a:xfrm>
                      <a:off x="0" y="0"/>
                      <a:ext cx="5266690" cy="15716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3、点击“新增中标通知书”按钮，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32355"/>
            <wp:effectExtent l="0" t="0" r="10160" b="10795"/>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83"/>
                    <a:srcRect b="4672"/>
                    <a:stretch>
                      <a:fillRect/>
                    </a:stretch>
                  </pic:blipFill>
                  <pic:spPr>
                    <a:xfrm>
                      <a:off x="0" y="0"/>
                      <a:ext cx="5266690" cy="2332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4、选择相应的</w:t>
      </w:r>
      <w:r>
        <w:rPr>
          <w:rFonts w:hint="eastAsia"/>
          <w:b w:val="0"/>
          <w:bCs w:val="0"/>
          <w:color w:val="auto"/>
          <w:lang w:val="en-US" w:eastAsia="zh-CN"/>
        </w:rPr>
        <w:t>标段（包）</w:t>
      </w:r>
      <w:r>
        <w:rPr>
          <w:rFonts w:hint="eastAsia"/>
          <w:lang w:val="en-US" w:eastAsia="zh-CN"/>
        </w:rPr>
        <w:t>，点击“确定选择”按钮，进入“新增中标通知书”页面，根据项目类型在“04中标信息完善”中选择通知书类型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656080"/>
            <wp:effectExtent l="0" t="0" r="10160" b="1270"/>
            <wp:docPr id="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pic:cNvPicPr>
                      <a:picLocks noChangeAspect="1"/>
                    </pic:cNvPicPr>
                  </pic:nvPicPr>
                  <pic:blipFill>
                    <a:blip r:embed="rId84"/>
                    <a:srcRect b="13009"/>
                    <a:stretch>
                      <a:fillRect/>
                    </a:stretch>
                  </pic:blipFill>
                  <pic:spPr>
                    <a:xfrm>
                      <a:off x="0" y="0"/>
                      <a:ext cx="5266690" cy="16560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5、按照实际情况完善页面信息后，确认无误后点击提交审核。</w:t>
      </w:r>
    </w:p>
    <w:p>
      <w:pPr>
        <w:pStyle w:val="4"/>
        <w:bidi w:val="0"/>
        <w:rPr>
          <w:rFonts w:hint="eastAsia"/>
          <w:lang w:val="en-US" w:eastAsia="zh-CN"/>
        </w:rPr>
      </w:pPr>
      <w:bookmarkStart w:id="31" w:name="_Toc10226"/>
      <w:r>
        <w:rPr>
          <w:rFonts w:hint="eastAsia"/>
          <w:lang w:val="en-US" w:eastAsia="zh-CN"/>
        </w:rPr>
        <w:t>招标异常</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已发布招标公告或预约场地未发布招标公告或流标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终止招标、重新招标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1、点击“工程业务→特殊情况</w:t>
      </w:r>
      <w:r>
        <w:rPr>
          <w:rFonts w:hint="eastAsia"/>
          <w:lang w:val="en-US" w:eastAsia="zh-CN"/>
        </w:rPr>
        <w:tab/>
      </w:r>
      <w:r>
        <w:rPr>
          <w:rFonts w:hint="eastAsia"/>
          <w:lang w:val="en-US" w:eastAsia="zh-CN"/>
        </w:rPr>
        <w:t>→招标异常”，进入招标异常页面，如下图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4150" cy="1791335"/>
            <wp:effectExtent l="0" t="0" r="12700" b="1841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85"/>
                    <a:stretch>
                      <a:fillRect/>
                    </a:stretch>
                  </pic:blipFill>
                  <pic:spPr>
                    <a:xfrm>
                      <a:off x="0" y="0"/>
                      <a:ext cx="5264150" cy="17913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2、点击“新增标段异常”进入挑选招标项目页面，选择相应的标段（包），点击“确定选择”按钮，进入“新增标段异常”页面：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eastAsia="宋体"/>
          <w:b/>
          <w:bCs/>
          <w:color w:val="FF0000"/>
          <w:lang w:val="en-US" w:eastAsia="zh-CN"/>
        </w:rPr>
      </w:pPr>
      <w:r>
        <w:rPr>
          <w:rFonts w:hint="eastAsia"/>
          <w:b/>
          <w:bCs/>
          <w:color w:val="FF0000"/>
          <w:lang w:val="en-US" w:eastAsia="zh-CN"/>
        </w:rPr>
        <w:t>注意：房建市政类项目，如重新招标或终止招标，选择终止招标，之后重新同步建设云，重新走招标流程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【是否发布公告】如选是，则03公告内容同步发布至网站“异常公告”内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注意：如在开标前进行招标异常流程，则投标单位不能再领取该项目的招标文件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63165"/>
            <wp:effectExtent l="0" t="0" r="10160" b="13335"/>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86"/>
                    <a:stretch>
                      <a:fillRect/>
                    </a:stretch>
                  </pic:blipFill>
                  <pic:spPr>
                    <a:xfrm>
                      <a:off x="0" y="0"/>
                      <a:ext cx="5266690" cy="24631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3、按照实际情况完善页面信息及上传相应材料后，确认无误后点击提交审核</w:t>
      </w:r>
    </w:p>
    <w:p>
      <w:pPr>
        <w:pStyle w:val="3"/>
        <w:bidi w:val="0"/>
        <w:rPr>
          <w:rFonts w:hint="default"/>
          <w:lang w:val="en-US" w:eastAsia="zh-CN"/>
        </w:rPr>
      </w:pPr>
      <w:bookmarkStart w:id="32" w:name="_Toc11200"/>
      <w:r>
        <w:rPr>
          <w:rFonts w:hint="eastAsia"/>
          <w:lang w:val="en-US" w:eastAsia="zh-CN"/>
        </w:rPr>
        <w:t>水利及农业农村类</w:t>
      </w:r>
      <w:bookmarkEnd w:id="32"/>
    </w:p>
    <w:p>
      <w:pPr>
        <w:pStyle w:val="4"/>
        <w:bidi w:val="0"/>
        <w:rPr>
          <w:rFonts w:hint="default"/>
          <w:lang w:val="en-US" w:eastAsia="zh-CN"/>
        </w:rPr>
      </w:pPr>
      <w:bookmarkStart w:id="33" w:name="_Toc4216"/>
      <w:r>
        <w:rPr>
          <w:rFonts w:hint="eastAsia"/>
          <w:lang w:val="en-US" w:eastAsia="zh-CN"/>
        </w:rPr>
        <w:t>项目注册</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招标人完成注册入库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完善项目注册信息；无审核流程（提交即通过）；</w:t>
      </w:r>
      <w:r>
        <w:rPr>
          <w:rFonts w:hint="eastAsia"/>
          <w:b/>
          <w:bCs/>
          <w:color w:val="FF0000"/>
          <w:lang w:val="en-US" w:eastAsia="zh-CN"/>
        </w:rPr>
        <w:t>注意！无审核流程，提交就通过，无法再修改，请仔细填写；水利与农业农村类只项目注册的模块不一样，后续操作流程及模块一致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1、点击“水利工程→招标方案→水利</w:t>
      </w:r>
      <w:r>
        <w:rPr>
          <w:rFonts w:hint="eastAsia"/>
          <w:b/>
          <w:bCs/>
          <w:lang w:val="en-US" w:eastAsia="zh-CN"/>
        </w:rPr>
        <w:t>/</w:t>
      </w:r>
      <w:r>
        <w:rPr>
          <w:rFonts w:hint="eastAsia"/>
          <w:lang w:val="en-US" w:eastAsia="zh-CN"/>
        </w:rPr>
        <w:t>农业农村项目注册”，进入项目注册页面，如下图：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991870"/>
            <wp:effectExtent l="0" t="0" r="10160" b="1778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87"/>
                    <a:srcRect b="27247"/>
                    <a:stretch>
                      <a:fillRect/>
                    </a:stretch>
                  </pic:blipFill>
                  <pic:spPr>
                    <a:xfrm>
                      <a:off x="0" y="0"/>
                      <a:ext cx="5266690" cy="991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2、点击“新建项目”进入项目注册页面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color w:val="C00000"/>
          <w:lang w:val="en-US" w:eastAsia="zh-CN"/>
        </w:rPr>
        <w:t>注意：除项目交易分类选项，水利项目注册与农业农村项目注册不一致，其余字段内容均一致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443990"/>
            <wp:effectExtent l="0" t="0" r="10160" b="381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88"/>
                    <a:srcRect b="16058"/>
                    <a:stretch>
                      <a:fillRect/>
                    </a:stretch>
                  </pic:blipFill>
                  <pic:spPr>
                    <a:xfrm>
                      <a:off x="0" y="0"/>
                      <a:ext cx="5266690" cy="14439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3、按照项目实际情况完善页面信息，需注意“06项目</w:t>
      </w:r>
      <w:r>
        <w:rPr>
          <w:rFonts w:hint="eastAsia"/>
          <w:lang w:val="en-US" w:eastAsia="zh-CN"/>
        </w:rPr>
        <w:tab/>
      </w:r>
      <w:r>
        <w:rPr>
          <w:rFonts w:hint="eastAsia"/>
          <w:lang w:val="en-US" w:eastAsia="zh-CN"/>
        </w:rPr>
        <w:t>招标主体信息”中是否关联甲方账号（</w:t>
      </w:r>
      <w:r>
        <w:rPr>
          <w:rFonts w:hint="eastAsia"/>
          <w:b/>
          <w:bCs/>
          <w:lang w:val="en-US" w:eastAsia="zh-CN"/>
        </w:rPr>
        <w:t>此处显示招标人模块即为已关联</w:t>
      </w:r>
      <w:r>
        <w:rPr>
          <w:rFonts w:hint="eastAsia"/>
          <w:lang w:val="en-US" w:eastAsia="zh-CN"/>
        </w:rPr>
        <w:t>），</w:t>
      </w:r>
      <w:r>
        <w:rPr>
          <w:rFonts w:hint="eastAsia"/>
          <w:b/>
          <w:bCs/>
          <w:lang w:val="en-US" w:eastAsia="zh-CN"/>
        </w:rPr>
        <w:t>如此处只有招标代理模块无招标人模块</w:t>
      </w:r>
      <w:r>
        <w:rPr>
          <w:rFonts w:hint="eastAsia"/>
          <w:lang w:val="en-US" w:eastAsia="zh-CN"/>
        </w:rPr>
        <w:t>，点击“新增招标人”，在“单位名称”中输入招标人名称进行搜索（可关键字检索），勾选后点击“确认选择”，此时招标人模块出现，项目已关联至招标人账号。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92045"/>
            <wp:effectExtent l="0" t="0" r="1016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a:stretch>
                      <a:fillRect/>
                    </a:stretch>
                  </pic:blipFill>
                  <pic:spPr>
                    <a:xfrm>
                      <a:off x="0" y="0"/>
                      <a:ext cx="5266690" cy="2392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4、确认信息填写无误，点击“提交信息”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560830"/>
            <wp:effectExtent l="0" t="0" r="10160" b="127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89"/>
                    <a:stretch>
                      <a:fillRect/>
                    </a:stretch>
                  </pic:blipFill>
                  <pic:spPr>
                    <a:xfrm>
                      <a:off x="0" y="0"/>
                      <a:ext cx="5266690" cy="1560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5、在意见框内输入意见后，点击“确认提交”，此时状态变为审核通过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225040"/>
            <wp:effectExtent l="0" t="0" r="1016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1"/>
                    <a:stretch>
                      <a:fillRect/>
                    </a:stretch>
                  </pic:blipFill>
                  <pic:spPr>
                    <a:xfrm>
                      <a:off x="0" y="0"/>
                      <a:ext cx="5266690" cy="22250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990600"/>
            <wp:effectExtent l="0" t="0" r="10160" b="0"/>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90"/>
                    <a:stretch>
                      <a:fillRect/>
                    </a:stretch>
                  </pic:blipFill>
                  <pic:spPr>
                    <a:xfrm>
                      <a:off x="0" y="0"/>
                      <a:ext cx="5266690" cy="990600"/>
                    </a:xfrm>
                    <a:prstGeom prst="rect">
                      <a:avLst/>
                    </a:prstGeom>
                    <a:noFill/>
                    <a:ln>
                      <a:noFill/>
                    </a:ln>
                  </pic:spPr>
                </pic:pic>
              </a:graphicData>
            </a:graphic>
          </wp:inline>
        </w:drawing>
      </w:r>
    </w:p>
    <w:p>
      <w:pPr>
        <w:pStyle w:val="4"/>
        <w:bidi w:val="0"/>
        <w:rPr>
          <w:rFonts w:hint="default"/>
          <w:lang w:val="en-US" w:eastAsia="zh-CN"/>
        </w:rPr>
      </w:pPr>
      <w:bookmarkStart w:id="34" w:name="_Toc15966"/>
      <w:r>
        <w:rPr>
          <w:rFonts w:hint="eastAsia"/>
          <w:lang w:val="en-US" w:eastAsia="zh-CN"/>
        </w:rPr>
        <w:t>招标项目</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项目注册状态为审核通过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完善招标项目信息；无审核流程；</w:t>
      </w:r>
      <w:r>
        <w:rPr>
          <w:rFonts w:hint="eastAsia"/>
          <w:b/>
          <w:bCs/>
          <w:color w:val="FF0000"/>
          <w:lang w:val="en-US" w:eastAsia="zh-CN"/>
        </w:rPr>
        <w:t>注意！无审核流程，提交就通过，无法再修改，请仔细填写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1、点击“水利工程→招标方案→招标项目”，进入招标项目页面，如下图：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996950"/>
            <wp:effectExtent l="0" t="0" r="10160" b="1270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91"/>
                    <a:srcRect b="14674"/>
                    <a:stretch>
                      <a:fillRect/>
                    </a:stretch>
                  </pic:blipFill>
                  <pic:spPr>
                    <a:xfrm>
                      <a:off x="0" y="0"/>
                      <a:ext cx="5266690" cy="996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2、点击“新建招标项目”进入挑选项目页面如下：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583690"/>
            <wp:effectExtent l="0" t="0" r="10160" b="1651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92"/>
                    <a:srcRect b="33564"/>
                    <a:stretch>
                      <a:fillRect/>
                    </a:stretch>
                  </pic:blipFill>
                  <pic:spPr>
                    <a:xfrm>
                      <a:off x="0" y="0"/>
                      <a:ext cx="5266690" cy="15836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3、选择相应的招标项目，点击“确定选择”按钮，进入“新建招标项目”页面，按照项目实际情况完善页面信息后，点击“新增标段”进入新增标段（包）信息页面：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920240"/>
            <wp:effectExtent l="0" t="0" r="10160" b="381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93"/>
                    <a:srcRect b="16556"/>
                    <a:stretch>
                      <a:fillRect/>
                    </a:stretch>
                  </pic:blipFill>
                  <pic:spPr>
                    <a:xfrm>
                      <a:off x="0" y="0"/>
                      <a:ext cx="5266690" cy="19202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b w:val="0"/>
          <w:bCs w:val="0"/>
          <w:lang w:val="en-US" w:eastAsia="zh-CN"/>
        </w:rPr>
      </w:pPr>
      <w:r>
        <w:rPr>
          <w:rFonts w:hint="eastAsia"/>
          <w:b w:val="0"/>
          <w:bCs w:val="0"/>
          <w:lang w:val="en-US" w:eastAsia="zh-CN"/>
        </w:rPr>
        <w:t>按照实际情况录入页面信息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pPr>
      <w:r>
        <w:rPr>
          <w:rFonts w:hint="eastAsia"/>
          <w:b/>
          <w:bCs/>
          <w:lang w:val="en-US" w:eastAsia="zh-CN"/>
        </w:rPr>
        <w:t>采用网上招投标：选“是”则使用塔城地区交易平台电子投标、开标、评标，选“否”则非交易平台电子投标、评标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781810"/>
            <wp:effectExtent l="0" t="0" r="10160" b="8890"/>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pic:cNvPicPr>
                      <a:picLocks noChangeAspect="1"/>
                    </pic:cNvPicPr>
                  </pic:nvPicPr>
                  <pic:blipFill>
                    <a:blip r:embed="rId94"/>
                    <a:srcRect b="23667"/>
                    <a:stretch>
                      <a:fillRect/>
                    </a:stretch>
                  </pic:blipFill>
                  <pic:spPr>
                    <a:xfrm>
                      <a:off x="0" y="0"/>
                      <a:ext cx="5266690" cy="17818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4、按照实际情况完善招标项目及标段信息，确认无误后点击提交即可</w:t>
      </w:r>
    </w:p>
    <w:p>
      <w:pPr>
        <w:pStyle w:val="4"/>
        <w:bidi w:val="0"/>
        <w:rPr>
          <w:rFonts w:hint="default"/>
          <w:lang w:val="en-US" w:eastAsia="zh-CN"/>
        </w:rPr>
      </w:pPr>
      <w:bookmarkStart w:id="35" w:name="_Toc23341"/>
      <w:r>
        <w:rPr>
          <w:rFonts w:hint="eastAsia"/>
          <w:lang w:val="en-US" w:eastAsia="zh-CN"/>
        </w:rPr>
        <w:t>招标委托合同</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招标项目状态为审核通过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完善招标委托合同信息；无审核流程；</w:t>
      </w:r>
      <w:r>
        <w:rPr>
          <w:rFonts w:hint="eastAsia"/>
          <w:b/>
          <w:bCs/>
          <w:color w:val="FF0000"/>
          <w:lang w:val="en-US" w:eastAsia="zh-CN"/>
        </w:rPr>
        <w:t>注意！无审核流程，提交就通过，无法再修改，请仔细填写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1、点击“水利工程→招标方案→招标委托合同”，进入招标委托合同页面，如下图：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960755"/>
            <wp:effectExtent l="0" t="0" r="10160" b="10795"/>
            <wp:docPr id="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pic:cNvPicPr>
                      <a:picLocks noChangeAspect="1"/>
                    </pic:cNvPicPr>
                  </pic:nvPicPr>
                  <pic:blipFill>
                    <a:blip r:embed="rId95"/>
                    <a:srcRect b="18568"/>
                    <a:stretch>
                      <a:fillRect/>
                    </a:stretch>
                  </pic:blipFill>
                  <pic:spPr>
                    <a:xfrm>
                      <a:off x="0" y="0"/>
                      <a:ext cx="5266690" cy="9607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2、点击“新增委托合同”进入挑选项目页面，选择相应的招标项目，点击“确定选择”按钮，进入“新增招标委托合同”页面：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964055"/>
            <wp:effectExtent l="0" t="0" r="10160" b="17145"/>
            <wp:docPr id="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pic:cNvPicPr>
                      <a:picLocks noChangeAspect="1"/>
                    </pic:cNvPicPr>
                  </pic:nvPicPr>
                  <pic:blipFill>
                    <a:blip r:embed="rId96"/>
                    <a:stretch>
                      <a:fillRect/>
                    </a:stretch>
                  </pic:blipFill>
                  <pic:spPr>
                    <a:xfrm>
                      <a:off x="0" y="0"/>
                      <a:ext cx="5266690" cy="19640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3、按照实际情况完善招标委托合同信息并从本地将相关材料上传至系统中，确认无误后点击提交即可</w:t>
      </w:r>
    </w:p>
    <w:p>
      <w:pPr>
        <w:pStyle w:val="4"/>
        <w:bidi w:val="0"/>
        <w:rPr>
          <w:rFonts w:hint="default"/>
          <w:lang w:val="en-US" w:eastAsia="zh-CN"/>
        </w:rPr>
      </w:pPr>
      <w:bookmarkStart w:id="36" w:name="_Toc8488"/>
      <w:r>
        <w:rPr>
          <w:rFonts w:hint="eastAsia"/>
          <w:lang w:val="en-US" w:eastAsia="zh-CN"/>
        </w:rPr>
        <w:t>招标项目计划</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招标委托合同状态为审核通过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完善招标项目计划信息；无审核流程；</w:t>
      </w:r>
      <w:r>
        <w:rPr>
          <w:rFonts w:hint="eastAsia"/>
          <w:b/>
          <w:bCs/>
          <w:color w:val="FF0000"/>
          <w:lang w:val="en-US" w:eastAsia="zh-CN"/>
        </w:rPr>
        <w:t>注意！无审核流程，提交就通过，无法再修改，请仔细填写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rPr>
          <w:rFonts w:hint="eastAsia"/>
          <w:lang w:val="en-US" w:eastAsia="zh-CN"/>
        </w:rPr>
        <w:t>1、点击“水利工程→招标方案→招标项目计划”，进入招标项目计划页面，如下图：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066800"/>
            <wp:effectExtent l="0" t="0" r="10160" b="0"/>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97"/>
                    <a:stretch>
                      <a:fillRect/>
                    </a:stretch>
                  </pic:blipFill>
                  <pic:spPr>
                    <a:xfrm>
                      <a:off x="0" y="0"/>
                      <a:ext cx="5266690" cy="10668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2、点击“新增招标项目计划”进入挑选招标项目页面，选择相应的招标项目，点击“确定选择”按钮，进入“新增招标项目计划”页面：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087880"/>
            <wp:effectExtent l="0" t="0" r="10160" b="762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98"/>
                    <a:stretch>
                      <a:fillRect/>
                    </a:stretch>
                  </pic:blipFill>
                  <pic:spPr>
                    <a:xfrm>
                      <a:off x="0" y="0"/>
                      <a:ext cx="5266690" cy="2087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3、按照实际情况完善招标项目计划信息并从本地将相关材料上传至系统中，确认无误后点击提交即可</w:t>
      </w:r>
    </w:p>
    <w:p>
      <w:pPr>
        <w:pStyle w:val="4"/>
        <w:bidi w:val="0"/>
        <w:rPr>
          <w:rFonts w:hint="default"/>
          <w:lang w:val="en-US" w:eastAsia="zh-CN"/>
        </w:rPr>
      </w:pPr>
      <w:bookmarkStart w:id="37" w:name="_Toc2612"/>
      <w:r>
        <w:rPr>
          <w:rFonts w:hint="eastAsia"/>
          <w:lang w:val="en-US" w:eastAsia="zh-CN"/>
        </w:rPr>
        <w:t>招标项目申请</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招标委托合同状态为审核通过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完善招标项目计划信息；</w:t>
      </w:r>
      <w:r>
        <w:rPr>
          <w:rFonts w:hint="eastAsia"/>
          <w:b/>
          <w:bCs/>
          <w:color w:val="C00000"/>
          <w:lang w:val="en-US" w:eastAsia="zh-CN"/>
        </w:rPr>
        <w:t>农业农村类项目无审核流程，水利类项目需行业主管部门审核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rPr>
          <w:rFonts w:hint="eastAsia"/>
          <w:lang w:val="en-US" w:eastAsia="zh-CN"/>
        </w:rPr>
        <w:t>1、点击“水利工程→招标方案→招标项目计划”，进入招标项目计划页面，如下图：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448435"/>
            <wp:effectExtent l="0" t="0" r="10160" b="18415"/>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99"/>
                    <a:stretch>
                      <a:fillRect/>
                    </a:stretch>
                  </pic:blipFill>
                  <pic:spPr>
                    <a:xfrm>
                      <a:off x="0" y="0"/>
                      <a:ext cx="5266690" cy="1448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2、点击“新增招标项目申请”进入挑选招标项目页面，选择相应的招标项目，点击“确定选择”按钮，进入“新增招标项目申请”页面：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108075"/>
            <wp:effectExtent l="0" t="0" r="10160" b="15875"/>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100"/>
                    <a:srcRect b="47676"/>
                    <a:stretch>
                      <a:fillRect/>
                    </a:stretch>
                  </pic:blipFill>
                  <pic:spPr>
                    <a:xfrm>
                      <a:off x="0" y="0"/>
                      <a:ext cx="5266690" cy="11080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3、按照实际情况完善招标项目计划信息并从本地将相关材料上传至系统中，确认无误后点击提交即可</w:t>
      </w:r>
    </w:p>
    <w:p>
      <w:pPr>
        <w:pStyle w:val="4"/>
        <w:bidi w:val="0"/>
        <w:rPr>
          <w:rFonts w:hint="default"/>
          <w:lang w:val="en-US" w:eastAsia="zh-CN"/>
        </w:rPr>
      </w:pPr>
      <w:bookmarkStart w:id="38" w:name="_Toc11656"/>
      <w:r>
        <w:rPr>
          <w:rFonts w:hint="eastAsia"/>
          <w:lang w:val="en-US" w:eastAsia="zh-CN"/>
        </w:rPr>
        <w:t>开评标场地预约</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水利工程模块下操作同3.1.4</w:t>
      </w:r>
    </w:p>
    <w:p>
      <w:pPr>
        <w:pStyle w:val="4"/>
        <w:bidi w:val="0"/>
        <w:rPr>
          <w:rFonts w:hint="default"/>
          <w:lang w:val="en-US" w:eastAsia="zh-CN"/>
        </w:rPr>
      </w:pPr>
      <w:bookmarkStart w:id="39" w:name="_Toc14801"/>
      <w:r>
        <w:rPr>
          <w:rFonts w:hint="eastAsia"/>
          <w:lang w:val="en-US" w:eastAsia="zh-CN"/>
        </w:rPr>
        <w:t>开评标场地变更</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水利工程模块下操作同3.1.5</w:t>
      </w:r>
    </w:p>
    <w:p>
      <w:pPr>
        <w:pStyle w:val="4"/>
        <w:bidi w:val="0"/>
        <w:rPr>
          <w:rFonts w:hint="default"/>
          <w:lang w:val="en-US" w:eastAsia="zh-CN"/>
        </w:rPr>
      </w:pPr>
      <w:bookmarkStart w:id="40" w:name="_Toc15638"/>
      <w:r>
        <w:rPr>
          <w:rFonts w:hint="eastAsia"/>
          <w:lang w:val="en-US" w:eastAsia="zh-CN"/>
        </w:rPr>
        <w:t>开评标场地取消</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水利工程模块下操作同3.1.6</w:t>
      </w:r>
    </w:p>
    <w:p>
      <w:pPr>
        <w:pStyle w:val="4"/>
        <w:bidi w:val="0"/>
        <w:rPr>
          <w:rFonts w:hint="default"/>
          <w:lang w:val="en-US" w:eastAsia="zh-CN"/>
        </w:rPr>
      </w:pPr>
      <w:bookmarkStart w:id="41" w:name="_Toc23070"/>
      <w:r>
        <w:rPr>
          <w:rFonts w:hint="eastAsia"/>
          <w:lang w:val="en-US" w:eastAsia="zh-CN"/>
        </w:rPr>
        <w:t>招标公告</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水利工程模块下操作同3.1.7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C00000"/>
          <w:lang w:val="en-US" w:eastAsia="zh-CN"/>
        </w:rPr>
      </w:pPr>
      <w:r>
        <w:rPr>
          <w:rFonts w:hint="eastAsia"/>
          <w:b/>
          <w:bCs/>
          <w:color w:val="C00000"/>
          <w:lang w:val="en-US" w:eastAsia="zh-CN"/>
        </w:rPr>
        <w:t>注意：需完成3.2.1-3.2.5五个流程</w:t>
      </w:r>
    </w:p>
    <w:p>
      <w:pPr>
        <w:pStyle w:val="4"/>
        <w:bidi w:val="0"/>
        <w:rPr>
          <w:rFonts w:hint="default"/>
          <w:lang w:val="en-US" w:eastAsia="zh-CN"/>
        </w:rPr>
      </w:pPr>
      <w:bookmarkStart w:id="42" w:name="_Toc28916"/>
      <w:r>
        <w:rPr>
          <w:rFonts w:hint="eastAsia"/>
          <w:lang w:val="en-US" w:eastAsia="zh-CN"/>
        </w:rPr>
        <w:t>变更公告</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水利工程模块下操作同3.1.8</w:t>
      </w:r>
    </w:p>
    <w:p>
      <w:pPr>
        <w:pStyle w:val="4"/>
        <w:bidi w:val="0"/>
        <w:rPr>
          <w:rFonts w:hint="default"/>
          <w:lang w:val="en-US" w:eastAsia="zh-CN"/>
        </w:rPr>
      </w:pPr>
      <w:bookmarkStart w:id="43" w:name="_Toc31573"/>
      <w:r>
        <w:rPr>
          <w:rFonts w:hint="eastAsia"/>
          <w:lang w:val="en-US" w:eastAsia="zh-CN"/>
        </w:rPr>
        <w:t>招标文件</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水利工程模块下操作同3.1.9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注意：水利施工招标文件工程量清单</w:t>
      </w:r>
      <w:r>
        <w:rPr>
          <w:rFonts w:hint="eastAsia"/>
          <w:b/>
          <w:bCs/>
          <w:color w:val="FF0000"/>
          <w:lang w:val="en-US" w:eastAsia="zh-CN"/>
        </w:rPr>
        <w:t>需上传3.1公开接口.slzbx后缀文件</w:t>
      </w:r>
    </w:p>
    <w:p>
      <w:pPr>
        <w:pStyle w:val="4"/>
        <w:bidi w:val="0"/>
        <w:rPr>
          <w:rFonts w:hint="default"/>
          <w:lang w:val="en-US" w:eastAsia="zh-CN"/>
        </w:rPr>
      </w:pPr>
      <w:bookmarkStart w:id="44" w:name="_Toc25972"/>
      <w:r>
        <w:rPr>
          <w:rFonts w:hint="eastAsia"/>
          <w:lang w:val="en-US" w:eastAsia="zh-CN"/>
        </w:rPr>
        <w:t>答疑澄清文件</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水利工程模块下操作同3.1.10</w:t>
      </w:r>
    </w:p>
    <w:p>
      <w:pPr>
        <w:pStyle w:val="4"/>
        <w:bidi w:val="0"/>
        <w:rPr>
          <w:rFonts w:hint="default"/>
          <w:lang w:val="en-US" w:eastAsia="zh-CN"/>
        </w:rPr>
      </w:pPr>
      <w:bookmarkStart w:id="45" w:name="_Toc27010"/>
      <w:r>
        <w:rPr>
          <w:rFonts w:hint="eastAsia"/>
          <w:lang w:val="en-US" w:eastAsia="zh-CN"/>
        </w:rPr>
        <w:t>招标控制价文件</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招标文件状态为审核通过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编制并发布招标控制价文件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1、点击“水利工程→发标→招标控制价文件”，进入招标控制价文件列表页面，如下图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736725"/>
            <wp:effectExtent l="0" t="0" r="10160" b="15875"/>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101"/>
                    <a:srcRect b="2147"/>
                    <a:stretch>
                      <a:fillRect/>
                    </a:stretch>
                  </pic:blipFill>
                  <pic:spPr>
                    <a:xfrm>
                      <a:off x="0" y="0"/>
                      <a:ext cx="5266690" cy="1736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2、点击“新增招标控制价”按钮，</w:t>
      </w:r>
      <w:r>
        <w:rPr>
          <w:rFonts w:hint="eastAsia"/>
          <w:b w:val="0"/>
          <w:bCs w:val="0"/>
          <w:color w:val="auto"/>
          <w:lang w:val="en-US" w:eastAsia="zh-CN"/>
        </w:rPr>
        <w:t>进入挑选标段（包）页面，</w:t>
      </w:r>
      <w:r>
        <w:rPr>
          <w:rFonts w:hint="eastAsia"/>
          <w:lang w:val="en-US" w:eastAsia="zh-CN"/>
        </w:rPr>
        <w:t>选择相应的</w:t>
      </w:r>
      <w:r>
        <w:rPr>
          <w:rFonts w:hint="eastAsia"/>
          <w:b w:val="0"/>
          <w:bCs w:val="0"/>
          <w:color w:val="auto"/>
          <w:lang w:val="en-US" w:eastAsia="zh-CN"/>
        </w:rPr>
        <w:t>标段（包）</w:t>
      </w:r>
      <w:r>
        <w:rPr>
          <w:rFonts w:hint="eastAsia"/>
          <w:lang w:val="en-US" w:eastAsia="zh-CN"/>
        </w:rPr>
        <w:t>，点击“确定选择”按钮，进入“新增答疑澄清文件”页面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947545"/>
            <wp:effectExtent l="0" t="0" r="10160" b="14605"/>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102"/>
                    <a:stretch>
                      <a:fillRect/>
                    </a:stretch>
                  </pic:blipFill>
                  <pic:spPr>
                    <a:xfrm>
                      <a:off x="0" y="0"/>
                      <a:ext cx="5266690" cy="19475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注意：水利及农业农村类项目，非水利施工范本，点击“其他附件”后的“上传”按钮将相关文件从本机上传至系统即可，无需制作。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如是水利施工范本，点击制作跳转控制价文件制作页面如下图，上传控制价文件工程量清单，</w:t>
      </w:r>
      <w:r>
        <w:rPr>
          <w:rFonts w:hint="eastAsia"/>
          <w:b/>
          <w:bCs/>
          <w:color w:val="FF0000"/>
          <w:lang w:val="en-US" w:eastAsia="zh-CN"/>
        </w:rPr>
        <w:t>需上传3.1公开接口.slkzx后缀文件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872490"/>
            <wp:effectExtent l="0" t="0" r="10160"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103"/>
                    <a:stretch>
                      <a:fillRect/>
                    </a:stretch>
                  </pic:blipFill>
                  <pic:spPr>
                    <a:xfrm>
                      <a:off x="0" y="0"/>
                      <a:ext cx="5266690" cy="8724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3、按照实际情况完善页面信息后，上传或生成了控制价文件，确认无误后点击提交审核</w:t>
      </w:r>
    </w:p>
    <w:p>
      <w:pPr>
        <w:pStyle w:val="4"/>
        <w:bidi w:val="0"/>
        <w:rPr>
          <w:rFonts w:hint="default"/>
          <w:lang w:val="en-US" w:eastAsia="zh-CN"/>
        </w:rPr>
      </w:pPr>
      <w:bookmarkStart w:id="46" w:name="_Toc15241"/>
      <w:r>
        <w:rPr>
          <w:rFonts w:hint="eastAsia"/>
          <w:lang w:val="en-US" w:eastAsia="zh-CN"/>
        </w:rPr>
        <w:t>组建评标委员会</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水利工程模块下操作同3.1.12</w:t>
      </w:r>
    </w:p>
    <w:p>
      <w:pPr>
        <w:pStyle w:val="4"/>
        <w:bidi w:val="0"/>
        <w:rPr>
          <w:rFonts w:hint="default"/>
          <w:lang w:val="en-US" w:eastAsia="zh-CN"/>
        </w:rPr>
      </w:pPr>
      <w:bookmarkStart w:id="47" w:name="_Toc31378"/>
      <w:r>
        <w:rPr>
          <w:rFonts w:hint="eastAsia"/>
          <w:lang w:val="en-US" w:eastAsia="zh-CN"/>
        </w:rPr>
        <w:t>中标候选人公示</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水利工程模块下操作同3.1.14</w:t>
      </w:r>
    </w:p>
    <w:p>
      <w:pPr>
        <w:pStyle w:val="4"/>
        <w:bidi w:val="0"/>
        <w:rPr>
          <w:rFonts w:hint="default"/>
          <w:lang w:val="en-US" w:eastAsia="zh-CN"/>
        </w:rPr>
      </w:pPr>
      <w:bookmarkStart w:id="48" w:name="_Toc28424"/>
      <w:r>
        <w:rPr>
          <w:rFonts w:hint="eastAsia"/>
          <w:lang w:val="en-US" w:eastAsia="zh-CN"/>
        </w:rPr>
        <w:t>中标结果公告</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水利工程模块下操作同3.1.15</w:t>
      </w:r>
    </w:p>
    <w:p>
      <w:pPr>
        <w:pStyle w:val="4"/>
        <w:bidi w:val="0"/>
        <w:rPr>
          <w:rFonts w:hint="default"/>
          <w:lang w:val="en-US" w:eastAsia="zh-CN"/>
        </w:rPr>
      </w:pPr>
      <w:bookmarkStart w:id="49" w:name="_Toc18978"/>
      <w:r>
        <w:rPr>
          <w:rFonts w:hint="eastAsia"/>
          <w:lang w:val="en-US" w:eastAsia="zh-CN"/>
        </w:rPr>
        <w:t>中标通知书</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中标结果公告状态为审核通过；</w:t>
      </w:r>
      <w:r>
        <w:rPr>
          <w:rFonts w:hint="eastAsia"/>
          <w:b/>
          <w:bCs/>
          <w:color w:val="FF0000"/>
          <w:lang w:val="en-US" w:eastAsia="zh-CN"/>
        </w:rPr>
        <w:t>需招标人账号完成此步骤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发布中标通知书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w:t>
      </w:r>
      <w:r>
        <w:rPr>
          <w:rFonts w:hint="eastAsia"/>
          <w:b w:val="0"/>
          <w:bCs w:val="0"/>
          <w:lang w:val="en-US" w:eastAsia="zh-CN"/>
        </w:rPr>
        <w:t>招标人登录进入</w:t>
      </w:r>
      <w:r>
        <w:rPr>
          <w:rFonts w:hint="eastAsia"/>
          <w:lang w:val="en-US" w:eastAsia="zh-CN"/>
        </w:rPr>
        <w:t>交易平台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895475"/>
            <wp:effectExtent l="0" t="0" r="1016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5266690" cy="1895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2、点击“水利工程→定标→中标通知书”，进入中标候选人公示列表页面，点击“新增中标通知书”按钮，</w:t>
      </w:r>
      <w:r>
        <w:rPr>
          <w:rFonts w:hint="eastAsia"/>
          <w:b w:val="0"/>
          <w:bCs w:val="0"/>
          <w:color w:val="auto"/>
          <w:lang w:val="en-US" w:eastAsia="zh-CN"/>
        </w:rPr>
        <w:t>进入挑选标段（包）页面，如下图：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32355"/>
            <wp:effectExtent l="0" t="0" r="10160" b="10795"/>
            <wp:docPr id="10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1"/>
                    <pic:cNvPicPr>
                      <a:picLocks noChangeAspect="1"/>
                    </pic:cNvPicPr>
                  </pic:nvPicPr>
                  <pic:blipFill>
                    <a:blip r:embed="rId83"/>
                    <a:srcRect b="4672"/>
                    <a:stretch>
                      <a:fillRect/>
                    </a:stretch>
                  </pic:blipFill>
                  <pic:spPr>
                    <a:xfrm>
                      <a:off x="0" y="0"/>
                      <a:ext cx="5266690" cy="2332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w:t>
      </w:r>
      <w:r>
        <w:rPr>
          <w:rFonts w:hint="eastAsia"/>
          <w:b w:val="0"/>
          <w:bCs w:val="0"/>
          <w:color w:val="auto"/>
          <w:lang w:val="en-US" w:eastAsia="zh-CN"/>
        </w:rPr>
        <w:t>标段（包）</w:t>
      </w:r>
      <w:r>
        <w:rPr>
          <w:rFonts w:hint="eastAsia"/>
          <w:lang w:val="en-US" w:eastAsia="zh-CN"/>
        </w:rPr>
        <w:t>，点击“确定选择”按钮，进入“新增中标通知书”页面，按照行业主管部门要求，选择生成中标通知书及招标结果通知书并进行电子签章，按行业主管部门要求上传相关附件，确认无误后点击提交审核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046605"/>
            <wp:effectExtent l="0" t="0" r="10160" b="10795"/>
            <wp:docPr id="10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2"/>
                    <pic:cNvPicPr>
                      <a:picLocks noChangeAspect="1"/>
                    </pic:cNvPicPr>
                  </pic:nvPicPr>
                  <pic:blipFill>
                    <a:blip r:embed="rId104"/>
                    <a:stretch>
                      <a:fillRect/>
                    </a:stretch>
                  </pic:blipFill>
                  <pic:spPr>
                    <a:xfrm>
                      <a:off x="0" y="0"/>
                      <a:ext cx="5266690" cy="2046605"/>
                    </a:xfrm>
                    <a:prstGeom prst="rect">
                      <a:avLst/>
                    </a:prstGeom>
                    <a:noFill/>
                    <a:ln>
                      <a:noFill/>
                    </a:ln>
                  </pic:spPr>
                </pic:pic>
              </a:graphicData>
            </a:graphic>
          </wp:inline>
        </w:drawing>
      </w:r>
    </w:p>
    <w:p>
      <w:pPr>
        <w:pStyle w:val="4"/>
        <w:bidi w:val="0"/>
      </w:pPr>
      <w:bookmarkStart w:id="50" w:name="_Toc26578"/>
      <w:r>
        <w:rPr>
          <w:rFonts w:hint="eastAsia"/>
          <w:lang w:val="en-US" w:eastAsia="zh-CN"/>
        </w:rPr>
        <w:t>招标异常</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已发布招标公告或预约场地未发布招标公告或流标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终止招标、重新招标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1、点击“水利工程→特殊情况</w:t>
      </w:r>
      <w:r>
        <w:rPr>
          <w:rFonts w:hint="eastAsia"/>
          <w:lang w:val="en-US" w:eastAsia="zh-CN"/>
        </w:rPr>
        <w:tab/>
      </w:r>
      <w:r>
        <w:rPr>
          <w:rFonts w:hint="eastAsia"/>
          <w:lang w:val="en-US" w:eastAsia="zh-CN"/>
        </w:rPr>
        <w:t>→招标异常”，进入招标异常页面，如下图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692275"/>
            <wp:effectExtent l="0" t="0" r="10160" b="317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105"/>
                    <a:stretch>
                      <a:fillRect/>
                    </a:stretch>
                  </pic:blipFill>
                  <pic:spPr>
                    <a:xfrm>
                      <a:off x="0" y="0"/>
                      <a:ext cx="5266690" cy="1692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2、点击“新增标段异常”进入挑选招标项目页面，选择相应的标段（包），点击“确定选择”按钮，进入“新增标段异常”页面：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auto"/>
          <w:lang w:val="en-US" w:eastAsia="zh-CN"/>
        </w:rPr>
      </w:pPr>
      <w:r>
        <w:rPr>
          <w:rFonts w:hint="eastAsia"/>
          <w:b/>
          <w:bCs/>
          <w:color w:val="auto"/>
          <w:lang w:val="en-US" w:eastAsia="zh-CN"/>
        </w:rPr>
        <w:t>【重新招标】即字面意思的重新招标。且系统会复制该标段，完成招标异常流程后直接预约产地即可，无需再走项目注册等流程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auto"/>
          <w:lang w:val="en-US" w:eastAsia="zh-CN"/>
        </w:rPr>
      </w:pPr>
      <w:r>
        <w:rPr>
          <w:rFonts w:hint="eastAsia"/>
          <w:b/>
          <w:bCs/>
          <w:color w:val="auto"/>
          <w:lang w:val="en-US" w:eastAsia="zh-CN"/>
        </w:rPr>
        <w:t>【终止招标】即字面意思的终止招标。如需再次招标，需重新进行项目注册等流程。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【是否发布公告】如选是，则03公告内容同步发布至网站“异常公告”内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注意：如在开标前进行招标异常流程，则投标单位不能再领取该项目的招标文件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12670"/>
            <wp:effectExtent l="0" t="0" r="10160" b="11430"/>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106"/>
                    <a:stretch>
                      <a:fillRect/>
                    </a:stretch>
                  </pic:blipFill>
                  <pic:spPr>
                    <a:xfrm>
                      <a:off x="0" y="0"/>
                      <a:ext cx="5266690" cy="23126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pPr>
        <w:pStyle w:val="3"/>
        <w:bidi w:val="0"/>
        <w:rPr>
          <w:rFonts w:hint="default"/>
          <w:lang w:val="en-US" w:eastAsia="zh-CN"/>
        </w:rPr>
      </w:pPr>
      <w:bookmarkStart w:id="51" w:name="_Toc14456"/>
      <w:r>
        <w:rPr>
          <w:rFonts w:hint="eastAsia"/>
          <w:lang w:val="en-US" w:eastAsia="zh-CN"/>
        </w:rPr>
        <w:t>交通类</w:t>
      </w:r>
      <w:bookmarkEnd w:id="51"/>
    </w:p>
    <w:p>
      <w:pPr>
        <w:pStyle w:val="4"/>
        <w:bidi w:val="0"/>
        <w:rPr>
          <w:rFonts w:hint="default"/>
          <w:lang w:val="en-US" w:eastAsia="zh-CN"/>
        </w:rPr>
      </w:pPr>
      <w:bookmarkStart w:id="52" w:name="_Toc25940"/>
      <w:r>
        <w:rPr>
          <w:rFonts w:hint="eastAsia"/>
          <w:lang w:val="en-US" w:eastAsia="zh-CN"/>
        </w:rPr>
        <w:t>项目注册</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交通工程模块下操作同3.2.1</w:t>
      </w:r>
    </w:p>
    <w:p>
      <w:pPr>
        <w:pStyle w:val="4"/>
        <w:bidi w:val="0"/>
        <w:rPr>
          <w:rFonts w:hint="default"/>
          <w:lang w:val="en-US" w:eastAsia="zh-CN"/>
        </w:rPr>
      </w:pPr>
      <w:bookmarkStart w:id="53" w:name="_Toc28297"/>
      <w:r>
        <w:rPr>
          <w:rFonts w:hint="eastAsia"/>
          <w:lang w:val="en-US" w:eastAsia="zh-CN"/>
        </w:rPr>
        <w:t>招标项目</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交通工程模块下操作同3.2.2</w:t>
      </w:r>
    </w:p>
    <w:p>
      <w:pPr>
        <w:pStyle w:val="4"/>
        <w:bidi w:val="0"/>
        <w:rPr>
          <w:rFonts w:hint="default"/>
          <w:lang w:val="en-US" w:eastAsia="zh-CN"/>
        </w:rPr>
      </w:pPr>
      <w:bookmarkStart w:id="54" w:name="_Toc7938"/>
      <w:r>
        <w:rPr>
          <w:rFonts w:hint="eastAsia"/>
          <w:lang w:val="en-US" w:eastAsia="zh-CN"/>
        </w:rPr>
        <w:t>开评标场地预约</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交通工程模块下操作同3.1.4</w:t>
      </w:r>
    </w:p>
    <w:p>
      <w:pPr>
        <w:pStyle w:val="4"/>
        <w:bidi w:val="0"/>
        <w:rPr>
          <w:rFonts w:hint="default"/>
          <w:lang w:val="en-US" w:eastAsia="zh-CN"/>
        </w:rPr>
      </w:pPr>
      <w:bookmarkStart w:id="55" w:name="_Toc30464"/>
      <w:r>
        <w:rPr>
          <w:rFonts w:hint="eastAsia"/>
          <w:lang w:val="en-US" w:eastAsia="zh-CN"/>
        </w:rPr>
        <w:t>开评标场地变更</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交通工程模块下操作同3.1.5</w:t>
      </w:r>
    </w:p>
    <w:p>
      <w:pPr>
        <w:pStyle w:val="4"/>
        <w:bidi w:val="0"/>
        <w:rPr>
          <w:rFonts w:hint="default"/>
          <w:lang w:val="en-US" w:eastAsia="zh-CN"/>
        </w:rPr>
      </w:pPr>
      <w:bookmarkStart w:id="56" w:name="_Toc2490"/>
      <w:r>
        <w:rPr>
          <w:rFonts w:hint="eastAsia"/>
          <w:lang w:val="en-US" w:eastAsia="zh-CN"/>
        </w:rPr>
        <w:t>开评标场地取消</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交通工程模块下操作同3.1.6</w:t>
      </w:r>
    </w:p>
    <w:p>
      <w:pPr>
        <w:pStyle w:val="4"/>
        <w:bidi w:val="0"/>
        <w:rPr>
          <w:rFonts w:hint="default"/>
          <w:lang w:val="en-US" w:eastAsia="zh-CN"/>
        </w:rPr>
      </w:pPr>
      <w:bookmarkStart w:id="57" w:name="_Toc15516"/>
      <w:r>
        <w:rPr>
          <w:rFonts w:hint="eastAsia"/>
          <w:lang w:val="en-US" w:eastAsia="zh-CN"/>
        </w:rPr>
        <w:t>招标公告</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交通工程模块下操作同3.1.7</w:t>
      </w:r>
    </w:p>
    <w:p>
      <w:pPr>
        <w:pStyle w:val="4"/>
        <w:bidi w:val="0"/>
        <w:rPr>
          <w:rFonts w:hint="default"/>
          <w:lang w:val="en-US" w:eastAsia="zh-CN"/>
        </w:rPr>
      </w:pPr>
      <w:bookmarkStart w:id="58" w:name="_Toc28981"/>
      <w:r>
        <w:rPr>
          <w:rFonts w:hint="eastAsia"/>
          <w:lang w:val="en-US" w:eastAsia="zh-CN"/>
        </w:rPr>
        <w:t>变更公告</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水利工程模块下操作同3.1.8</w:t>
      </w:r>
    </w:p>
    <w:p>
      <w:pPr>
        <w:pStyle w:val="4"/>
        <w:bidi w:val="0"/>
        <w:rPr>
          <w:rFonts w:hint="default"/>
          <w:lang w:val="en-US" w:eastAsia="zh-CN"/>
        </w:rPr>
      </w:pPr>
      <w:bookmarkStart w:id="59" w:name="_Toc97"/>
      <w:r>
        <w:rPr>
          <w:rFonts w:hint="eastAsia"/>
          <w:lang w:val="en-US" w:eastAsia="zh-CN"/>
        </w:rPr>
        <w:t>招标文件</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交通工程模块下操作同3.1.9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注意：交通施工招标文件（即农村公路招标文件）工程量清单</w:t>
      </w:r>
      <w:r>
        <w:rPr>
          <w:rFonts w:hint="eastAsia"/>
          <w:b/>
          <w:bCs/>
          <w:color w:val="FF0000"/>
          <w:lang w:val="en-US" w:eastAsia="zh-CN"/>
        </w:rPr>
        <w:t>需上传2.1公开接口.xjnczb后缀文件</w:t>
      </w:r>
    </w:p>
    <w:p>
      <w:pPr>
        <w:pStyle w:val="4"/>
        <w:bidi w:val="0"/>
        <w:rPr>
          <w:rFonts w:hint="default"/>
          <w:lang w:val="en-US" w:eastAsia="zh-CN"/>
        </w:rPr>
      </w:pPr>
      <w:bookmarkStart w:id="60" w:name="_Toc19940"/>
      <w:r>
        <w:rPr>
          <w:rFonts w:hint="eastAsia"/>
          <w:lang w:val="en-US" w:eastAsia="zh-CN"/>
        </w:rPr>
        <w:t>答疑澄清文件</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交通工程模块下操作同3.1.10</w:t>
      </w:r>
    </w:p>
    <w:p>
      <w:pPr>
        <w:pStyle w:val="4"/>
        <w:bidi w:val="0"/>
        <w:rPr>
          <w:rFonts w:hint="default"/>
          <w:lang w:val="en-US" w:eastAsia="zh-CN"/>
        </w:rPr>
      </w:pPr>
      <w:bookmarkStart w:id="61" w:name="_Toc11890"/>
      <w:r>
        <w:rPr>
          <w:rFonts w:hint="eastAsia"/>
          <w:lang w:val="en-US" w:eastAsia="zh-CN"/>
        </w:rPr>
        <w:t>招标控制价文件</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交通工程模块下操作同3.1.11</w:t>
      </w:r>
    </w:p>
    <w:p>
      <w:pPr>
        <w:pStyle w:val="4"/>
        <w:bidi w:val="0"/>
        <w:rPr>
          <w:rFonts w:hint="default"/>
          <w:lang w:val="en-US" w:eastAsia="zh-CN"/>
        </w:rPr>
      </w:pPr>
      <w:bookmarkStart w:id="62" w:name="_Toc17144"/>
      <w:r>
        <w:rPr>
          <w:rFonts w:hint="eastAsia"/>
          <w:lang w:val="en-US" w:eastAsia="zh-CN"/>
        </w:rPr>
        <w:t>组建评标委员会</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交通工程模块下操作同3.1.12</w:t>
      </w:r>
    </w:p>
    <w:p>
      <w:pPr>
        <w:pStyle w:val="4"/>
        <w:bidi w:val="0"/>
        <w:rPr>
          <w:rFonts w:hint="default"/>
          <w:lang w:val="en-US" w:eastAsia="zh-CN"/>
        </w:rPr>
      </w:pPr>
      <w:bookmarkStart w:id="63" w:name="_Toc28295"/>
      <w:r>
        <w:rPr>
          <w:rFonts w:hint="eastAsia"/>
          <w:lang w:val="en-US" w:eastAsia="zh-CN"/>
        </w:rPr>
        <w:t>中标候选人公示</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交通工程模块下操作同3.1.14</w:t>
      </w:r>
    </w:p>
    <w:p>
      <w:pPr>
        <w:pStyle w:val="4"/>
        <w:bidi w:val="0"/>
        <w:rPr>
          <w:rFonts w:hint="default"/>
          <w:lang w:val="en-US" w:eastAsia="zh-CN"/>
        </w:rPr>
      </w:pPr>
      <w:bookmarkStart w:id="64" w:name="_Toc19811"/>
      <w:r>
        <w:rPr>
          <w:rFonts w:hint="eastAsia"/>
          <w:lang w:val="en-US" w:eastAsia="zh-CN"/>
        </w:rPr>
        <w:t>中标结果公告</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交通工程模块下操作同3.1.15</w:t>
      </w:r>
    </w:p>
    <w:p>
      <w:pPr>
        <w:pStyle w:val="4"/>
        <w:bidi w:val="0"/>
        <w:rPr>
          <w:rFonts w:hint="default"/>
          <w:lang w:val="en-US" w:eastAsia="zh-CN"/>
        </w:rPr>
      </w:pPr>
      <w:bookmarkStart w:id="65" w:name="_Toc30053"/>
      <w:r>
        <w:rPr>
          <w:rFonts w:hint="eastAsia"/>
          <w:lang w:val="en-US" w:eastAsia="zh-CN"/>
        </w:rPr>
        <w:t>中标通知书</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交通工程模块下操作同</w:t>
      </w:r>
      <w:r>
        <w:rPr>
          <w:rFonts w:hint="eastAsia"/>
          <w:b/>
          <w:bCs/>
          <w:color w:val="C00000"/>
          <w:lang w:val="en-US" w:eastAsia="zh-CN"/>
        </w:rPr>
        <w:t>3.2.17</w:t>
      </w:r>
    </w:p>
    <w:p>
      <w:pPr>
        <w:pStyle w:val="4"/>
        <w:bidi w:val="0"/>
        <w:rPr>
          <w:rFonts w:hint="default"/>
          <w:lang w:val="en-US" w:eastAsia="zh-CN"/>
        </w:rPr>
      </w:pPr>
      <w:bookmarkStart w:id="66" w:name="_Toc13324"/>
      <w:r>
        <w:rPr>
          <w:rFonts w:hint="eastAsia"/>
          <w:lang w:val="en-US" w:eastAsia="zh-CN"/>
        </w:rPr>
        <w:t>招标异常</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bCs/>
          <w:color w:val="FF0000"/>
          <w:lang w:val="en-US" w:eastAsia="zh-CN"/>
        </w:rPr>
      </w:pPr>
      <w:r>
        <w:rPr>
          <w:rFonts w:hint="eastAsia"/>
          <w:lang w:val="en-US" w:eastAsia="zh-CN"/>
        </w:rPr>
        <w:t>交通工程模块下操作同</w:t>
      </w:r>
      <w:r>
        <w:rPr>
          <w:rFonts w:hint="eastAsia"/>
          <w:b/>
          <w:bCs/>
          <w:color w:val="FF0000"/>
          <w:lang w:val="en-US" w:eastAsia="zh-CN"/>
        </w:rPr>
        <w:t>3.2.18</w:t>
      </w:r>
    </w:p>
    <w:p>
      <w:pPr>
        <w:pStyle w:val="3"/>
        <w:bidi w:val="0"/>
        <w:rPr>
          <w:rFonts w:hint="default"/>
          <w:lang w:val="en-US" w:eastAsia="zh-CN"/>
        </w:rPr>
      </w:pPr>
      <w:bookmarkStart w:id="67" w:name="_Toc1729"/>
      <w:r>
        <w:rPr>
          <w:rFonts w:hint="eastAsia"/>
          <w:lang w:val="en-US" w:eastAsia="zh-CN"/>
        </w:rPr>
        <w:t>政府采购</w:t>
      </w:r>
      <w:bookmarkEnd w:id="67"/>
    </w:p>
    <w:p>
      <w:pPr>
        <w:pStyle w:val="4"/>
        <w:bidi w:val="0"/>
        <w:rPr>
          <w:rFonts w:hint="default"/>
          <w:lang w:val="en-US" w:eastAsia="zh-CN"/>
        </w:rPr>
      </w:pPr>
      <w:bookmarkStart w:id="68" w:name="_Toc2710"/>
      <w:r>
        <w:rPr>
          <w:rFonts w:hint="eastAsia"/>
          <w:lang w:val="en-US" w:eastAsia="zh-CN"/>
        </w:rPr>
        <w:t>开评标场地预约</w:t>
      </w:r>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采购项目已从政采云同步至交易平台（</w:t>
      </w:r>
      <w:r>
        <w:rPr>
          <w:rFonts w:hint="eastAsia"/>
          <w:b/>
          <w:bCs/>
          <w:lang w:val="en-US" w:eastAsia="zh-CN"/>
        </w:rPr>
        <w:t>交易平台自动同步</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预约开评标场地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b w:val="0"/>
          <w:bCs w:val="0"/>
          <w:lang w:val="en-US" w:eastAsia="zh-CN"/>
        </w:rPr>
      </w:pPr>
      <w:r>
        <w:rPr>
          <w:rFonts w:hint="eastAsia"/>
          <w:b w:val="0"/>
          <w:bCs w:val="0"/>
          <w:lang w:val="en-US" w:eastAsia="zh-CN"/>
        </w:rPr>
        <w:t>1、</w:t>
      </w:r>
      <w:r>
        <w:rPr>
          <w:rFonts w:hint="eastAsia"/>
          <w:lang w:val="en-US" w:eastAsia="zh-CN"/>
        </w:rPr>
        <w:t>点击“采购业务→开标前→场地预约”，进入开评标场地预约界面，如下图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899795"/>
            <wp:effectExtent l="0" t="0" r="10160" b="14605"/>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107"/>
                    <a:stretch>
                      <a:fillRect/>
                    </a:stretch>
                  </pic:blipFill>
                  <pic:spPr>
                    <a:xfrm>
                      <a:off x="0" y="0"/>
                      <a:ext cx="5266690" cy="8997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2、点击“新增开标场地”按键进入“挑选分包”页面。如下图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右上角采购组织形式选择“分散采购”，</w:t>
      </w:r>
      <w:r>
        <w:rPr>
          <w:rFonts w:hint="eastAsia"/>
          <w:b/>
          <w:bCs/>
          <w:color w:val="FF0000"/>
          <w:lang w:val="en-US" w:eastAsia="zh-CN"/>
        </w:rPr>
        <w:t>同步政采云的项目已与交易平台各代理公司账号关联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注意：此处可以多选一个项目下的所有标段。【建议多个标段分开预约】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463165"/>
            <wp:effectExtent l="0" t="0" r="10160" b="13335"/>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1"/>
                    </pic:cNvPicPr>
                  </pic:nvPicPr>
                  <pic:blipFill>
                    <a:blip r:embed="rId108"/>
                    <a:stretch>
                      <a:fillRect/>
                    </a:stretch>
                  </pic:blipFill>
                  <pic:spPr>
                    <a:xfrm>
                      <a:off x="0" y="0"/>
                      <a:ext cx="5266690" cy="24631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3、选择相应的分包，点击“确定选择”按钮，进入“开评标场地预约”页面。选取开标时间，需要点击保存。确定之后点击提交信息按钮。如下图：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“03场地使用信息”可查看场地占用情况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774825"/>
            <wp:effectExtent l="0" t="0" r="10160" b="15875"/>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109"/>
                    <a:stretch>
                      <a:fillRect/>
                    </a:stretch>
                  </pic:blipFill>
                  <pic:spPr>
                    <a:xfrm>
                      <a:off x="0" y="0"/>
                      <a:ext cx="5266690" cy="17748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4、按照实际情况完善页面信息，确认无误后点击提交审核</w:t>
      </w:r>
    </w:p>
    <w:p>
      <w:pPr>
        <w:pStyle w:val="4"/>
        <w:bidi w:val="0"/>
        <w:rPr>
          <w:rFonts w:hint="eastAsia"/>
          <w:lang w:val="en-US" w:eastAsia="zh-CN"/>
        </w:rPr>
      </w:pPr>
      <w:bookmarkStart w:id="69" w:name="_Toc21353"/>
      <w:r>
        <w:rPr>
          <w:rFonts w:hint="eastAsia"/>
          <w:lang w:val="en-US" w:eastAsia="zh-CN"/>
        </w:rPr>
        <w:t>开评标场地变更</w:t>
      </w:r>
      <w:bookmarkEnd w:id="69"/>
    </w:p>
    <w:p>
      <w:pPr>
        <w:rPr>
          <w:rFonts w:hint="default"/>
          <w:lang w:val="en-US" w:eastAsia="zh-CN"/>
        </w:rPr>
      </w:pPr>
      <w:r>
        <w:rPr>
          <w:rFonts w:hint="eastAsia"/>
          <w:lang w:val="en-US" w:eastAsia="zh-CN"/>
        </w:rPr>
        <w:t>采购业务模块下操作同3.1.5</w:t>
      </w:r>
    </w:p>
    <w:p>
      <w:pPr>
        <w:pStyle w:val="4"/>
        <w:bidi w:val="0"/>
        <w:rPr>
          <w:rFonts w:hint="default"/>
          <w:lang w:val="en-US" w:eastAsia="zh-CN"/>
        </w:rPr>
      </w:pPr>
      <w:bookmarkStart w:id="70" w:name="_Toc25447"/>
      <w:r>
        <w:rPr>
          <w:rFonts w:hint="eastAsia"/>
          <w:lang w:val="en-US" w:eastAsia="zh-CN"/>
        </w:rPr>
        <w:t>开评标场地取消</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采购业务模块下操作同3.1.6</w:t>
      </w:r>
    </w:p>
    <w:p>
      <w:pPr>
        <w:rPr>
          <w:rFonts w:hint="default"/>
          <w:lang w:val="en-US" w:eastAsia="zh-CN"/>
        </w:rPr>
      </w:pPr>
    </w:p>
    <w:p>
      <w:pPr>
        <w:pStyle w:val="3"/>
        <w:bidi w:val="0"/>
        <w:rPr>
          <w:rFonts w:hint="default"/>
          <w:lang w:val="en-US" w:eastAsia="zh-CN"/>
        </w:rPr>
      </w:pPr>
      <w:bookmarkStart w:id="71" w:name="_Toc32186"/>
      <w:r>
        <w:rPr>
          <w:rFonts w:hint="eastAsia"/>
          <w:lang w:val="en-US" w:eastAsia="zh-CN"/>
        </w:rPr>
        <w:t>其他工程</w:t>
      </w:r>
      <w:bookmarkEnd w:id="71"/>
    </w:p>
    <w:p>
      <w:pPr>
        <w:pStyle w:val="4"/>
        <w:bidi w:val="0"/>
        <w:rPr>
          <w:rFonts w:hint="default"/>
          <w:lang w:val="en-US" w:eastAsia="zh-CN"/>
        </w:rPr>
      </w:pPr>
      <w:bookmarkStart w:id="72" w:name="_Toc29390"/>
      <w:r>
        <w:rPr>
          <w:rFonts w:hint="eastAsia"/>
          <w:lang w:val="en-US" w:eastAsia="zh-CN"/>
        </w:rPr>
        <w:t>项目注册</w:t>
      </w:r>
      <w:bookmarkEnd w:id="7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前提条件：</w:t>
      </w:r>
      <w:r>
        <w:rPr>
          <w:rFonts w:hint="eastAsia"/>
          <w:b w:val="0"/>
          <w:bCs w:val="0"/>
          <w:lang w:val="en-US" w:eastAsia="zh-CN"/>
        </w:rPr>
        <w:t>招标人完成注册入库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lang w:val="en-US" w:eastAsia="zh-CN"/>
        </w:rPr>
      </w:pPr>
      <w:r>
        <w:rPr>
          <w:rFonts w:hint="eastAsia"/>
          <w:b/>
          <w:bCs/>
          <w:lang w:val="en-US" w:eastAsia="zh-CN"/>
        </w:rPr>
        <w:t>基本功能：</w:t>
      </w:r>
      <w:r>
        <w:rPr>
          <w:rFonts w:hint="eastAsia"/>
          <w:b w:val="0"/>
          <w:bCs w:val="0"/>
          <w:lang w:val="en-US" w:eastAsia="zh-CN"/>
        </w:rPr>
        <w:t>完善项目注册信息；无审核流程（提交即通过）；</w:t>
      </w:r>
      <w:r>
        <w:rPr>
          <w:rFonts w:hint="eastAsia"/>
          <w:b/>
          <w:bCs/>
          <w:color w:val="FF0000"/>
          <w:lang w:val="en-US" w:eastAsia="zh-CN"/>
        </w:rPr>
        <w:t>注意！无审核流程，提交就通过，无法再修改，请仔细填写；选择的招标人为审核人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eastAsia"/>
          <w:b/>
          <w:bCs/>
          <w:lang w:val="en-US" w:eastAsia="zh-CN"/>
        </w:rPr>
        <w:t>操作步骤：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1、点击“其他工程→招标方案→水利</w:t>
      </w:r>
      <w:r>
        <w:rPr>
          <w:rFonts w:hint="eastAsia"/>
          <w:b/>
          <w:bCs/>
          <w:lang w:val="en-US" w:eastAsia="zh-CN"/>
        </w:rPr>
        <w:t>/</w:t>
      </w:r>
      <w:r>
        <w:rPr>
          <w:rFonts w:hint="eastAsia"/>
          <w:lang w:val="en-US" w:eastAsia="zh-CN"/>
        </w:rPr>
        <w:t>农业农村项目注册”，进入项目注册页面，如下图：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036955"/>
            <wp:effectExtent l="0" t="0" r="10160" b="10795"/>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110"/>
                    <a:stretch>
                      <a:fillRect/>
                    </a:stretch>
                  </pic:blipFill>
                  <pic:spPr>
                    <a:xfrm>
                      <a:off x="0" y="0"/>
                      <a:ext cx="5266690" cy="1036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2、点击“新建项目”进入项目注册页面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906270"/>
            <wp:effectExtent l="0" t="0" r="10160" b="17780"/>
            <wp:docPr id="1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
                    <pic:cNvPicPr>
                      <a:picLocks noChangeAspect="1"/>
                    </pic:cNvPicPr>
                  </pic:nvPicPr>
                  <pic:blipFill>
                    <a:blip r:embed="rId111"/>
                    <a:stretch>
                      <a:fillRect/>
                    </a:stretch>
                  </pic:blipFill>
                  <pic:spPr>
                    <a:xfrm>
                      <a:off x="0" y="0"/>
                      <a:ext cx="5266690" cy="1906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3、按照项目实际情况完善页面信息，需注意“06项目</w:t>
      </w:r>
      <w:r>
        <w:rPr>
          <w:rFonts w:hint="eastAsia"/>
          <w:lang w:val="en-US" w:eastAsia="zh-CN"/>
        </w:rPr>
        <w:tab/>
      </w:r>
      <w:r>
        <w:rPr>
          <w:rFonts w:hint="eastAsia"/>
          <w:lang w:val="en-US" w:eastAsia="zh-CN"/>
        </w:rPr>
        <w:t>招标主体信息”中是否关联甲方账号（</w:t>
      </w:r>
      <w:r>
        <w:rPr>
          <w:rFonts w:hint="eastAsia"/>
          <w:b/>
          <w:bCs/>
          <w:lang w:val="en-US" w:eastAsia="zh-CN"/>
        </w:rPr>
        <w:t>此处显示招标人模块即为已关联</w:t>
      </w:r>
      <w:r>
        <w:rPr>
          <w:rFonts w:hint="eastAsia"/>
          <w:lang w:val="en-US" w:eastAsia="zh-CN"/>
        </w:rPr>
        <w:t>），</w:t>
      </w:r>
      <w:r>
        <w:rPr>
          <w:rFonts w:hint="eastAsia"/>
          <w:b/>
          <w:bCs/>
          <w:lang w:val="en-US" w:eastAsia="zh-CN"/>
        </w:rPr>
        <w:t>如此处只有招标代理模块无招标人模块</w:t>
      </w:r>
      <w:r>
        <w:rPr>
          <w:rFonts w:hint="eastAsia"/>
          <w:lang w:val="en-US" w:eastAsia="zh-CN"/>
        </w:rPr>
        <w:t>，点击“新增招标人”，在“单位名称”中输入招标人名称进行搜索（可关键字检索），勾选后点击“确认选择”，此时招标人模块出现，项目已关联至招标人账号。</w:t>
      </w:r>
      <w:r>
        <w:rPr>
          <w:rFonts w:hint="eastAsia"/>
          <w:b/>
          <w:bCs/>
          <w:lang w:val="en-US" w:eastAsia="zh-CN"/>
        </w:rPr>
        <w:t>后续的招标文件、招标公告等需审核的流程，由交易平台招标人账号登录进入进行审核。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392045"/>
            <wp:effectExtent l="0" t="0" r="10160" b="825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9"/>
                    <a:stretch>
                      <a:fillRect/>
                    </a:stretch>
                  </pic:blipFill>
                  <pic:spPr>
                    <a:xfrm>
                      <a:off x="0" y="0"/>
                      <a:ext cx="5266690" cy="2392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4、确认信息填写无误，点击“提交信息”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1560830"/>
            <wp:effectExtent l="0" t="0" r="10160" b="1270"/>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pic:cNvPicPr>
                  </pic:nvPicPr>
                  <pic:blipFill>
                    <a:blip r:embed="rId89"/>
                    <a:stretch>
                      <a:fillRect/>
                    </a:stretch>
                  </pic:blipFill>
                  <pic:spPr>
                    <a:xfrm>
                      <a:off x="0" y="0"/>
                      <a:ext cx="5266690" cy="1560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5、在意见框内输入意见后，点击“确认提交”，此时状态变为审核通过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225040"/>
            <wp:effectExtent l="0" t="0" r="10160" b="381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1"/>
                    <a:stretch>
                      <a:fillRect/>
                    </a:stretch>
                  </pic:blipFill>
                  <pic:spPr>
                    <a:xfrm>
                      <a:off x="0" y="0"/>
                      <a:ext cx="5266690" cy="2225040"/>
                    </a:xfrm>
                    <a:prstGeom prst="rect">
                      <a:avLst/>
                    </a:prstGeom>
                    <a:noFill/>
                    <a:ln>
                      <a:noFill/>
                    </a:ln>
                  </pic:spPr>
                </pic:pic>
              </a:graphicData>
            </a:graphic>
          </wp:inline>
        </w:drawing>
      </w:r>
    </w:p>
    <w:p>
      <w:pPr>
        <w:pStyle w:val="4"/>
        <w:bidi w:val="0"/>
        <w:rPr>
          <w:rFonts w:hint="default"/>
          <w:lang w:val="en-US" w:eastAsia="zh-CN"/>
        </w:rPr>
      </w:pPr>
      <w:bookmarkStart w:id="73" w:name="_Toc7837"/>
      <w:r>
        <w:rPr>
          <w:rFonts w:hint="eastAsia"/>
          <w:lang w:val="en-US" w:eastAsia="zh-CN"/>
        </w:rPr>
        <w:t>招标项目</w:t>
      </w:r>
      <w:bookmarkEnd w:id="7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其他工程模块下操作同3.2.2</w:t>
      </w:r>
    </w:p>
    <w:p>
      <w:pPr>
        <w:pStyle w:val="4"/>
        <w:bidi w:val="0"/>
        <w:rPr>
          <w:rFonts w:hint="default"/>
          <w:lang w:val="en-US" w:eastAsia="zh-CN"/>
        </w:rPr>
      </w:pPr>
      <w:bookmarkStart w:id="74" w:name="_Toc13436"/>
      <w:r>
        <w:rPr>
          <w:rFonts w:hint="eastAsia"/>
          <w:lang w:val="en-US" w:eastAsia="zh-CN"/>
        </w:rPr>
        <w:t>开评标场地预约</w:t>
      </w:r>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其他工程模块下操作同3.1.4</w:t>
      </w:r>
    </w:p>
    <w:p>
      <w:pPr>
        <w:pStyle w:val="4"/>
        <w:bidi w:val="0"/>
        <w:rPr>
          <w:rFonts w:hint="default"/>
          <w:lang w:val="en-US" w:eastAsia="zh-CN"/>
        </w:rPr>
      </w:pPr>
      <w:bookmarkStart w:id="75" w:name="_Toc14250"/>
      <w:r>
        <w:rPr>
          <w:rFonts w:hint="eastAsia"/>
          <w:lang w:val="en-US" w:eastAsia="zh-CN"/>
        </w:rPr>
        <w:t>开评标场地变更</w:t>
      </w:r>
      <w:bookmarkEnd w:id="7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其他工程模块下操作同3.1.5</w:t>
      </w:r>
    </w:p>
    <w:p>
      <w:pPr>
        <w:pStyle w:val="4"/>
        <w:bidi w:val="0"/>
        <w:rPr>
          <w:rFonts w:hint="default"/>
          <w:lang w:val="en-US" w:eastAsia="zh-CN"/>
        </w:rPr>
      </w:pPr>
      <w:bookmarkStart w:id="76" w:name="_Toc28079"/>
      <w:r>
        <w:rPr>
          <w:rFonts w:hint="eastAsia"/>
          <w:lang w:val="en-US" w:eastAsia="zh-CN"/>
        </w:rPr>
        <w:t>开评标场地取消</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其他工程模块下操作同3.1.6</w:t>
      </w:r>
    </w:p>
    <w:p>
      <w:pPr>
        <w:pStyle w:val="4"/>
        <w:bidi w:val="0"/>
        <w:rPr>
          <w:rFonts w:hint="default"/>
          <w:lang w:val="en-US" w:eastAsia="zh-CN"/>
        </w:rPr>
      </w:pPr>
      <w:bookmarkStart w:id="77" w:name="_Toc8992"/>
      <w:r>
        <w:rPr>
          <w:rFonts w:hint="eastAsia"/>
          <w:lang w:val="en-US" w:eastAsia="zh-CN"/>
        </w:rPr>
        <w:t>招标公告</w:t>
      </w:r>
      <w:bookmarkEnd w:id="7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其他工程模块下操作同3.1.7</w:t>
      </w:r>
    </w:p>
    <w:p>
      <w:pPr>
        <w:pStyle w:val="4"/>
        <w:bidi w:val="0"/>
        <w:rPr>
          <w:rFonts w:hint="default"/>
          <w:lang w:val="en-US" w:eastAsia="zh-CN"/>
        </w:rPr>
      </w:pPr>
      <w:bookmarkStart w:id="78" w:name="_Toc31164"/>
      <w:r>
        <w:rPr>
          <w:rFonts w:hint="eastAsia"/>
          <w:lang w:val="en-US" w:eastAsia="zh-CN"/>
        </w:rPr>
        <w:t>变更公告</w:t>
      </w:r>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其他工程模块下操作同3.1.8</w:t>
      </w:r>
    </w:p>
    <w:p>
      <w:pPr>
        <w:pStyle w:val="4"/>
        <w:bidi w:val="0"/>
        <w:rPr>
          <w:rFonts w:hint="default"/>
          <w:lang w:val="en-US" w:eastAsia="zh-CN"/>
        </w:rPr>
      </w:pPr>
      <w:bookmarkStart w:id="79" w:name="_Toc22733"/>
      <w:r>
        <w:rPr>
          <w:rFonts w:hint="eastAsia"/>
          <w:lang w:val="en-US" w:eastAsia="zh-CN"/>
        </w:rPr>
        <w:t>招标文件</w:t>
      </w:r>
      <w:bookmarkEnd w:id="7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其他工程模块下操作同3.1.9</w:t>
      </w:r>
    </w:p>
    <w:p>
      <w:pPr>
        <w:pStyle w:val="4"/>
        <w:bidi w:val="0"/>
        <w:rPr>
          <w:rFonts w:hint="default"/>
          <w:lang w:val="en-US" w:eastAsia="zh-CN"/>
        </w:rPr>
      </w:pPr>
      <w:bookmarkStart w:id="80" w:name="_Toc31706"/>
      <w:r>
        <w:rPr>
          <w:rFonts w:hint="eastAsia"/>
          <w:lang w:val="en-US" w:eastAsia="zh-CN"/>
        </w:rPr>
        <w:t>答疑澄清文件</w:t>
      </w:r>
      <w:bookmarkEnd w:id="8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其他工程模块下操作同3.1.10</w:t>
      </w:r>
    </w:p>
    <w:p>
      <w:pPr>
        <w:pStyle w:val="4"/>
        <w:bidi w:val="0"/>
        <w:rPr>
          <w:rFonts w:hint="default"/>
          <w:lang w:val="en-US" w:eastAsia="zh-CN"/>
        </w:rPr>
      </w:pPr>
      <w:bookmarkStart w:id="81" w:name="_Toc22310"/>
      <w:r>
        <w:rPr>
          <w:rFonts w:hint="eastAsia"/>
          <w:lang w:val="en-US" w:eastAsia="zh-CN"/>
        </w:rPr>
        <w:t>招标控制价文件</w:t>
      </w:r>
      <w:bookmarkEnd w:id="81"/>
    </w:p>
    <w:p>
      <w:pPr>
        <w:rPr>
          <w:rFonts w:hint="default"/>
          <w:lang w:val="en-US" w:eastAsia="zh-CN"/>
        </w:rPr>
      </w:pPr>
      <w:r>
        <w:rPr>
          <w:rFonts w:hint="eastAsia"/>
          <w:lang w:val="en-US" w:eastAsia="zh-CN"/>
        </w:rPr>
        <w:t>使用水利施工范本，操作同3.2.13，其他范本同3.1.11</w:t>
      </w:r>
    </w:p>
    <w:p>
      <w:pPr>
        <w:pStyle w:val="4"/>
        <w:bidi w:val="0"/>
        <w:rPr>
          <w:rFonts w:hint="default"/>
          <w:lang w:val="en-US" w:eastAsia="zh-CN"/>
        </w:rPr>
      </w:pPr>
      <w:bookmarkStart w:id="82" w:name="_Toc10333"/>
      <w:r>
        <w:rPr>
          <w:rFonts w:hint="eastAsia"/>
          <w:lang w:val="en-US" w:eastAsia="zh-CN"/>
        </w:rPr>
        <w:t>组建评标委员会</w:t>
      </w:r>
      <w:bookmarkEnd w:id="82"/>
    </w:p>
    <w:p>
      <w:pPr>
        <w:rPr>
          <w:rFonts w:hint="default"/>
          <w:lang w:val="en-US" w:eastAsia="zh-CN"/>
        </w:rPr>
      </w:pPr>
      <w:r>
        <w:rPr>
          <w:rFonts w:hint="eastAsia"/>
          <w:lang w:val="en-US" w:eastAsia="zh-CN"/>
        </w:rPr>
        <w:t>其他工程模块下操作同3.1.12</w:t>
      </w:r>
    </w:p>
    <w:p>
      <w:pPr>
        <w:pStyle w:val="4"/>
        <w:bidi w:val="0"/>
        <w:rPr>
          <w:rFonts w:hint="default"/>
          <w:lang w:val="en-US" w:eastAsia="zh-CN"/>
        </w:rPr>
      </w:pPr>
      <w:bookmarkStart w:id="83" w:name="_Toc14869"/>
      <w:r>
        <w:rPr>
          <w:rFonts w:hint="eastAsia"/>
          <w:lang w:val="en-US" w:eastAsia="zh-CN"/>
        </w:rPr>
        <w:t>中标候选人公示</w:t>
      </w:r>
      <w:bookmarkEnd w:id="83"/>
    </w:p>
    <w:p>
      <w:pPr>
        <w:rPr>
          <w:rFonts w:hint="default"/>
          <w:lang w:val="en-US" w:eastAsia="zh-CN"/>
        </w:rPr>
      </w:pPr>
      <w:r>
        <w:rPr>
          <w:rFonts w:hint="eastAsia"/>
          <w:lang w:val="en-US" w:eastAsia="zh-CN"/>
        </w:rPr>
        <w:t>其他工程模块下操作同3.1.14</w:t>
      </w:r>
    </w:p>
    <w:p>
      <w:pPr>
        <w:pStyle w:val="4"/>
        <w:bidi w:val="0"/>
        <w:rPr>
          <w:rFonts w:hint="default"/>
          <w:lang w:val="en-US" w:eastAsia="zh-CN"/>
        </w:rPr>
      </w:pPr>
      <w:bookmarkStart w:id="84" w:name="_Toc10441"/>
      <w:r>
        <w:rPr>
          <w:rFonts w:hint="eastAsia"/>
          <w:lang w:val="en-US" w:eastAsia="zh-CN"/>
        </w:rPr>
        <w:t>中标结果公告</w:t>
      </w:r>
      <w:bookmarkEnd w:id="84"/>
    </w:p>
    <w:p>
      <w:pPr>
        <w:rPr>
          <w:rFonts w:hint="default"/>
          <w:lang w:val="en-US" w:eastAsia="zh-CN"/>
        </w:rPr>
      </w:pPr>
      <w:r>
        <w:rPr>
          <w:rFonts w:hint="eastAsia"/>
          <w:lang w:val="en-US" w:eastAsia="zh-CN"/>
        </w:rPr>
        <w:t>其他工程模块下操作同3.1.15</w:t>
      </w:r>
    </w:p>
    <w:p>
      <w:pPr>
        <w:pStyle w:val="4"/>
        <w:bidi w:val="0"/>
        <w:rPr>
          <w:rFonts w:hint="default"/>
          <w:lang w:val="en-US" w:eastAsia="zh-CN"/>
        </w:rPr>
      </w:pPr>
      <w:bookmarkStart w:id="85" w:name="_Toc5451"/>
      <w:r>
        <w:rPr>
          <w:rFonts w:hint="eastAsia"/>
          <w:lang w:val="en-US" w:eastAsia="zh-CN"/>
        </w:rPr>
        <w:t>中标通知书</w:t>
      </w:r>
      <w:bookmarkEnd w:id="85"/>
    </w:p>
    <w:p>
      <w:pPr>
        <w:rPr>
          <w:rFonts w:hint="default"/>
          <w:lang w:val="en-US" w:eastAsia="zh-CN"/>
        </w:rPr>
      </w:pPr>
      <w:r>
        <w:rPr>
          <w:rFonts w:hint="eastAsia"/>
          <w:lang w:val="en-US" w:eastAsia="zh-CN"/>
        </w:rPr>
        <w:t>其他工程模块下操作同3.1.16</w:t>
      </w:r>
    </w:p>
    <w:p>
      <w:pPr>
        <w:pStyle w:val="4"/>
        <w:bidi w:val="0"/>
        <w:rPr>
          <w:rFonts w:hint="default"/>
          <w:lang w:val="en-US" w:eastAsia="zh-CN"/>
        </w:rPr>
      </w:pPr>
      <w:bookmarkStart w:id="86" w:name="_Toc31066"/>
      <w:r>
        <w:rPr>
          <w:rFonts w:hint="eastAsia"/>
          <w:lang w:val="en-US" w:eastAsia="zh-CN"/>
        </w:rPr>
        <w:t>招标异常</w:t>
      </w:r>
      <w:bookmarkEnd w:id="86"/>
    </w:p>
    <w:p>
      <w:pPr>
        <w:rPr>
          <w:rFonts w:hint="default"/>
          <w:lang w:val="en-US" w:eastAsia="zh-CN"/>
        </w:rPr>
      </w:pPr>
      <w:r>
        <w:rPr>
          <w:rFonts w:hint="eastAsia"/>
          <w:lang w:val="en-US" w:eastAsia="zh-CN"/>
        </w:rPr>
        <w:t>其他工程模块下操作同3.1.12</w:t>
      </w:r>
    </w:p>
    <w:p>
      <w:pPr>
        <w:rPr>
          <w:rFonts w:hint="default"/>
          <w:lang w:val="en-US" w:eastAsia="zh-CN"/>
        </w:rPr>
      </w:pPr>
    </w:p>
    <w:p>
      <w:pPr>
        <w:pStyle w:val="2"/>
        <w:bidi w:val="0"/>
        <w:rPr>
          <w:rFonts w:hint="default"/>
          <w:lang w:val="en-US" w:eastAsia="zh-CN"/>
        </w:rPr>
      </w:pPr>
      <w:bookmarkStart w:id="87" w:name="_Toc5660"/>
      <w:r>
        <w:rPr>
          <w:rFonts w:hint="eastAsia"/>
          <w:lang w:val="en-US" w:eastAsia="zh-CN"/>
        </w:rPr>
        <w:t>常见问题答疑</w:t>
      </w:r>
      <w:bookmarkEnd w:id="87"/>
    </w:p>
    <w:p>
      <w:pPr>
        <w:pStyle w:val="3"/>
        <w:bidi w:val="0"/>
        <w:rPr>
          <w:rFonts w:hint="default"/>
          <w:lang w:val="en-US" w:eastAsia="zh-CN"/>
        </w:rPr>
      </w:pPr>
      <w:bookmarkStart w:id="88" w:name="_Toc21497"/>
      <w:r>
        <w:rPr>
          <w:rFonts w:hint="eastAsia"/>
          <w:lang w:val="en-US" w:eastAsia="zh-CN"/>
        </w:rPr>
        <w:t>点击同步建设云项目，但是项目一直没同步到</w:t>
      </w:r>
      <w:bookmarkEnd w:id="8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请阅读3.1.1步骤中的3步骤，确认时间是否选择正确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b/>
          <w:bCs/>
          <w:color w:val="FF0000"/>
          <w:lang w:val="en-US" w:eastAsia="zh-CN"/>
        </w:rPr>
      </w:pPr>
      <w:r>
        <w:rPr>
          <w:rFonts w:hint="eastAsia"/>
          <w:b/>
          <w:bCs/>
          <w:color w:val="FF0000"/>
          <w:lang w:val="en-US" w:eastAsia="zh-CN"/>
        </w:rPr>
        <w:t>建设云上填写的招标人和代理公司的名称及代码是否填写正确</w:t>
      </w:r>
    </w:p>
    <w:p>
      <w:pPr>
        <w:pStyle w:val="3"/>
        <w:bidi w:val="0"/>
        <w:rPr>
          <w:rFonts w:hint="default"/>
          <w:lang w:val="en-US" w:eastAsia="zh-CN"/>
        </w:rPr>
      </w:pPr>
      <w:bookmarkStart w:id="89" w:name="_Toc20775"/>
      <w:r>
        <w:rPr>
          <w:rFonts w:hint="eastAsia"/>
          <w:lang w:val="en-US" w:eastAsia="zh-CN"/>
        </w:rPr>
        <w:t>同步到交易平台的标段状态为审核通过无法修改</w:t>
      </w:r>
      <w:bookmarkEnd w:id="8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建设云上建立新项目，新项目下建新标段（建设云操作不熟悉请咨询建设云），之后交易平台重新同步（同步操作见3.1.1）</w:t>
      </w:r>
    </w:p>
    <w:p>
      <w:pPr>
        <w:pStyle w:val="3"/>
        <w:bidi w:val="0"/>
        <w:rPr>
          <w:rFonts w:hint="default"/>
          <w:lang w:val="en-US" w:eastAsia="zh-CN"/>
        </w:rPr>
      </w:pPr>
      <w:bookmarkStart w:id="90" w:name="_Toc7099"/>
      <w:r>
        <w:rPr>
          <w:rFonts w:hint="eastAsia"/>
          <w:lang w:val="en-US" w:eastAsia="zh-CN"/>
        </w:rPr>
        <w:t>房建市政类项目提交了相应的流程，但是主管部门审核看不到项目</w:t>
      </w:r>
      <w:bookmarkEnd w:id="9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bCs/>
          <w:color w:val="FF0000"/>
          <w:lang w:val="en-US" w:eastAsia="zh-CN"/>
        </w:rPr>
      </w:pPr>
      <w:r>
        <w:rPr>
          <w:rFonts w:hint="eastAsia"/>
          <w:lang w:val="en-US" w:eastAsia="zh-CN"/>
        </w:rPr>
        <w:t>房建市政项目，不管是施工、监理、设计等类型的项目，</w:t>
      </w:r>
      <w:r>
        <w:rPr>
          <w:rFonts w:hint="eastAsia"/>
          <w:b/>
          <w:bCs/>
          <w:color w:val="FF0000"/>
          <w:lang w:val="en-US" w:eastAsia="zh-CN"/>
        </w:rPr>
        <w:t>只要是工程建设模块下的流程，每个流程下必须有附件</w:t>
      </w:r>
    </w:p>
    <w:p>
      <w:pPr>
        <w:pStyle w:val="3"/>
        <w:bidi w:val="0"/>
        <w:rPr>
          <w:rFonts w:hint="default"/>
          <w:lang w:val="en-US" w:eastAsia="zh-CN"/>
        </w:rPr>
      </w:pPr>
      <w:bookmarkStart w:id="91" w:name="_Toc604"/>
      <w:r>
        <w:rPr>
          <w:rFonts w:hint="eastAsia"/>
          <w:lang w:val="en-US" w:eastAsia="zh-CN"/>
        </w:rPr>
        <w:t>多个标段预约了同一场地，现在其中某一标段需要终止或延期</w:t>
      </w:r>
      <w:bookmarkEnd w:id="91"/>
    </w:p>
    <w:p>
      <w:pPr>
        <w:rPr>
          <w:rFonts w:hint="eastAsia"/>
          <w:lang w:val="en-US" w:eastAsia="zh-CN"/>
        </w:rPr>
      </w:pPr>
      <w:r>
        <w:rPr>
          <w:rFonts w:hint="eastAsia"/>
          <w:lang w:val="en-US" w:eastAsia="zh-CN"/>
        </w:rPr>
        <w:t>先进行“场地取消”操作，将多标段从同一场地释放出来，再分别预约场地，终止的项目不用再预约场地直接走异常公告，延期的项目预约延期后的场地即可</w:t>
      </w:r>
    </w:p>
    <w:p>
      <w:pPr>
        <w:rPr>
          <w:rFonts w:hint="eastAsia"/>
          <w:lang w:val="en-US" w:eastAsia="zh-CN"/>
        </w:rPr>
      </w:pPr>
      <w:r>
        <w:rPr>
          <w:rFonts w:hint="eastAsia"/>
          <w:lang w:val="en-US" w:eastAsia="zh-CN"/>
        </w:rPr>
        <w:t>例：【ABC三个标段都预约开标一室2022.10.1开标】【A项目终止时，先进行场地取消操作，再将BC重新预约回去，最后对A走招标异常流程】【A项目延期一周时，先进行场地取消操作，再将BC重新预约回去，最后对A进行场地预约到2022.10.8开标】</w:t>
      </w:r>
    </w:p>
    <w:p>
      <w:pPr>
        <w:pStyle w:val="3"/>
        <w:bidi w:val="0"/>
        <w:rPr>
          <w:rFonts w:hint="default"/>
          <w:lang w:val="en-US" w:eastAsia="zh-CN"/>
        </w:rPr>
      </w:pPr>
      <w:bookmarkStart w:id="92" w:name="_Toc5455"/>
      <w:r>
        <w:rPr>
          <w:rFonts w:hint="eastAsia"/>
          <w:lang w:val="en-US" w:eastAsia="zh-CN"/>
        </w:rPr>
        <w:t>项目在开标前终止了，需要进行场地取消流程吗</w:t>
      </w:r>
      <w:bookmarkEnd w:id="92"/>
    </w:p>
    <w:p>
      <w:pPr>
        <w:rPr>
          <w:rFonts w:hint="eastAsia"/>
          <w:lang w:val="en-US" w:eastAsia="zh-CN"/>
        </w:rPr>
      </w:pPr>
      <w:r>
        <w:rPr>
          <w:rFonts w:hint="eastAsia"/>
          <w:lang w:val="en-US" w:eastAsia="zh-CN"/>
        </w:rPr>
        <w:t>终止招标见“招标异常”流程操作，招标异常流程完成后自动释放场地</w:t>
      </w:r>
    </w:p>
    <w:p>
      <w:pPr>
        <w:pStyle w:val="3"/>
        <w:bidi w:val="0"/>
        <w:rPr>
          <w:rFonts w:hint="default"/>
          <w:lang w:val="en-US" w:eastAsia="zh-CN"/>
        </w:rPr>
      </w:pPr>
      <w:bookmarkStart w:id="93" w:name="_Toc31266"/>
      <w:r>
        <w:rPr>
          <w:rFonts w:hint="eastAsia"/>
          <w:lang w:val="en-US" w:eastAsia="zh-CN"/>
        </w:rPr>
        <w:t>怎么查看、下载投标文件或评标报告</w:t>
      </w:r>
      <w:bookmarkEnd w:id="93"/>
    </w:p>
    <w:p>
      <w:pPr>
        <w:rPr>
          <w:rFonts w:hint="default"/>
          <w:lang w:val="en-US" w:eastAsia="zh-CN"/>
        </w:rPr>
      </w:pPr>
      <w:r>
        <w:rPr>
          <w:rFonts w:hint="eastAsia"/>
          <w:lang w:val="en-US" w:eastAsia="zh-CN"/>
        </w:rPr>
        <w:t>在对应工程、水利、交通的业务模块下，点击开标评标→评标情况，进入评标情况列表页面</w:t>
      </w:r>
    </w:p>
    <w:p>
      <w:pPr>
        <w:ind w:left="0" w:leftChars="0" w:firstLine="0" w:firstLineChars="0"/>
      </w:pPr>
      <w:r>
        <w:drawing>
          <wp:inline distT="0" distB="0" distL="114300" distR="114300">
            <wp:extent cx="5266690" cy="1184910"/>
            <wp:effectExtent l="0" t="0" r="10160" b="1524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112"/>
                    <a:stretch>
                      <a:fillRect/>
                    </a:stretch>
                  </pic:blipFill>
                  <pic:spPr>
                    <a:xfrm>
                      <a:off x="0" y="0"/>
                      <a:ext cx="5266690" cy="1184910"/>
                    </a:xfrm>
                    <a:prstGeom prst="rect">
                      <a:avLst/>
                    </a:prstGeom>
                    <a:noFill/>
                    <a:ln>
                      <a:noFill/>
                    </a:ln>
                  </pic:spPr>
                </pic:pic>
              </a:graphicData>
            </a:graphic>
          </wp:inline>
        </w:drawing>
      </w:r>
    </w:p>
    <w:p>
      <w:pPr>
        <w:rPr>
          <w:rFonts w:hint="default"/>
          <w:lang w:val="en-US" w:eastAsia="zh-CN"/>
        </w:rPr>
      </w:pPr>
      <w:r>
        <w:rPr>
          <w:rFonts w:hint="eastAsia"/>
          <w:lang w:val="en-US" w:eastAsia="zh-CN"/>
        </w:rPr>
        <w:t>右上角状态选择“已评标”，点击进入需要查看投标文件或评标报告的标段</w:t>
      </w:r>
    </w:p>
    <w:p>
      <w:pPr>
        <w:ind w:left="0" w:leftChars="0" w:firstLine="0" w:firstLineChars="0"/>
      </w:pPr>
      <w:r>
        <w:drawing>
          <wp:inline distT="0" distB="0" distL="114300" distR="114300">
            <wp:extent cx="5266690" cy="1026160"/>
            <wp:effectExtent l="0" t="0" r="10160" b="254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113"/>
                    <a:stretch>
                      <a:fillRect/>
                    </a:stretch>
                  </pic:blipFill>
                  <pic:spPr>
                    <a:xfrm>
                      <a:off x="0" y="0"/>
                      <a:ext cx="5266690" cy="1026160"/>
                    </a:xfrm>
                    <a:prstGeom prst="rect">
                      <a:avLst/>
                    </a:prstGeom>
                    <a:noFill/>
                    <a:ln>
                      <a:noFill/>
                    </a:ln>
                  </pic:spPr>
                </pic:pic>
              </a:graphicData>
            </a:graphic>
          </wp:inline>
        </w:drawing>
      </w:r>
    </w:p>
    <w:p>
      <w:pPr>
        <w:rPr>
          <w:rFonts w:hint="default"/>
          <w:lang w:val="en-US" w:eastAsia="zh-CN"/>
        </w:rPr>
      </w:pPr>
      <w:r>
        <w:rPr>
          <w:rFonts w:hint="eastAsia"/>
          <w:lang w:val="en-US" w:eastAsia="zh-CN"/>
        </w:rPr>
        <w:t>点击“评标报告”，可以通过勾选所需的文件点击“导出文件”进行下载，也可点击文件进行在线查看</w:t>
      </w:r>
    </w:p>
    <w:p>
      <w:pPr>
        <w:ind w:left="0" w:leftChars="0" w:firstLine="0" w:firstLineChars="0"/>
      </w:pPr>
      <w:r>
        <w:drawing>
          <wp:inline distT="0" distB="0" distL="114300" distR="114300">
            <wp:extent cx="5266690" cy="2438400"/>
            <wp:effectExtent l="0" t="0" r="10160" b="0"/>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14"/>
                    <a:stretch>
                      <a:fillRect/>
                    </a:stretch>
                  </pic:blipFill>
                  <pic:spPr>
                    <a:xfrm>
                      <a:off x="0" y="0"/>
                      <a:ext cx="5266690" cy="2438400"/>
                    </a:xfrm>
                    <a:prstGeom prst="rect">
                      <a:avLst/>
                    </a:prstGeom>
                    <a:noFill/>
                    <a:ln>
                      <a:noFill/>
                    </a:ln>
                  </pic:spPr>
                </pic:pic>
              </a:graphicData>
            </a:graphic>
          </wp:inline>
        </w:drawing>
      </w:r>
    </w:p>
    <w:p>
      <w:pPr>
        <w:pStyle w:val="3"/>
        <w:bidi w:val="0"/>
      </w:pPr>
      <w:bookmarkStart w:id="94" w:name="_Toc23574"/>
      <w:r>
        <w:rPr>
          <w:rFonts w:hint="eastAsia"/>
          <w:lang w:val="en-US" w:eastAsia="zh-CN"/>
        </w:rPr>
        <w:t>投标单位在线提问及异议怎么处理</w:t>
      </w:r>
      <w:bookmarkEnd w:id="94"/>
    </w:p>
    <w:p>
      <w:r>
        <w:rPr>
          <w:rFonts w:hint="eastAsia"/>
          <w:lang w:val="en-US" w:eastAsia="zh-CN"/>
        </w:rPr>
        <w:t>在对应工程、水利、交通的业务模块下，点击发标→提问回复，进入提问回复列表页面，点击回复进行查看并回复</w:t>
      </w:r>
    </w:p>
    <w:p>
      <w:pPr>
        <w:ind w:left="0" w:leftChars="0" w:firstLine="0" w:firstLineChars="0"/>
        <w:rPr>
          <w:rFonts w:hint="default"/>
          <w:lang w:val="en-US" w:eastAsia="zh-CN"/>
        </w:rPr>
      </w:pPr>
      <w:r>
        <w:drawing>
          <wp:inline distT="0" distB="0" distL="114300" distR="114300">
            <wp:extent cx="5266690" cy="1583055"/>
            <wp:effectExtent l="0" t="0" r="10160" b="17145"/>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pic:cNvPicPr>
                  </pic:nvPicPr>
                  <pic:blipFill>
                    <a:blip r:embed="rId115"/>
                    <a:stretch>
                      <a:fillRect/>
                    </a:stretch>
                  </pic:blipFill>
                  <pic:spPr>
                    <a:xfrm>
                      <a:off x="0" y="0"/>
                      <a:ext cx="5266690" cy="1583055"/>
                    </a:xfrm>
                    <a:prstGeom prst="rect">
                      <a:avLst/>
                    </a:prstGeom>
                    <a:noFill/>
                    <a:ln>
                      <a:noFill/>
                    </a:ln>
                  </pic:spPr>
                </pic:pic>
              </a:graphicData>
            </a:graphic>
          </wp:inline>
        </w:drawing>
      </w:r>
    </w:p>
    <w:p>
      <w:pPr>
        <w:rPr>
          <w:rFonts w:hint="default"/>
          <w:lang w:val="en-US" w:eastAsia="zh-CN"/>
        </w:rPr>
      </w:pPr>
      <w:r>
        <w:rPr>
          <w:rFonts w:hint="eastAsia"/>
          <w:lang w:val="en-US" w:eastAsia="zh-CN"/>
        </w:rPr>
        <w:t>在对应工程、水利、交通的业务模块下，点击特殊情况→异议回复，进入异议回复列表页面，点击回复进行查看并回复处理</w:t>
      </w:r>
    </w:p>
    <w:p>
      <w:pPr>
        <w:ind w:left="0" w:leftChars="0" w:firstLine="0" w:firstLineChars="0"/>
        <w:rPr>
          <w:rFonts w:hint="default"/>
          <w:lang w:val="en-US" w:eastAsia="zh-CN"/>
        </w:rPr>
      </w:pPr>
      <w:r>
        <w:drawing>
          <wp:inline distT="0" distB="0" distL="114300" distR="114300">
            <wp:extent cx="5266690" cy="1352550"/>
            <wp:effectExtent l="0" t="0" r="10160" b="0"/>
            <wp:docPr id="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
                    <pic:cNvPicPr>
                      <a:picLocks noChangeAspect="1"/>
                    </pic:cNvPicPr>
                  </pic:nvPicPr>
                  <pic:blipFill>
                    <a:blip r:embed="rId116"/>
                    <a:stretch>
                      <a:fillRect/>
                    </a:stretch>
                  </pic:blipFill>
                  <pic:spPr>
                    <a:xfrm>
                      <a:off x="0" y="0"/>
                      <a:ext cx="5266690" cy="1352550"/>
                    </a:xfrm>
                    <a:prstGeom prst="rect">
                      <a:avLst/>
                    </a:prstGeom>
                    <a:noFill/>
                    <a:ln>
                      <a:noFill/>
                    </a:ln>
                  </pic:spPr>
                </pic:pic>
              </a:graphicData>
            </a:graphic>
          </wp:inline>
        </w:drawing>
      </w:r>
    </w:p>
    <w:p>
      <w:pPr>
        <w:pStyle w:val="3"/>
        <w:bidi w:val="0"/>
        <w:rPr>
          <w:rFonts w:hint="default"/>
          <w:lang w:val="en-US" w:eastAsia="zh-CN"/>
        </w:rPr>
      </w:pPr>
      <w:bookmarkStart w:id="95" w:name="_Toc2210"/>
      <w:r>
        <w:rPr>
          <w:rFonts w:hint="eastAsia"/>
          <w:lang w:val="en-US" w:eastAsia="zh-CN"/>
        </w:rPr>
        <w:t>新增挑选页面选不到项目</w:t>
      </w:r>
      <w:bookmarkEnd w:id="95"/>
    </w:p>
    <w:p>
      <w:pPr>
        <w:rPr>
          <w:rFonts w:hint="default" w:eastAsia="宋体"/>
          <w:lang w:val="en-US" w:eastAsia="zh-CN"/>
        </w:rPr>
      </w:pPr>
      <w:r>
        <w:rPr>
          <w:rFonts w:hint="eastAsia"/>
          <w:lang w:val="en-US" w:eastAsia="zh-CN"/>
        </w:rPr>
        <w:t>点击搜索旁的下拉选项，“挑选状态”选择未挑选</w:t>
      </w:r>
    </w:p>
    <w:p>
      <w:pPr>
        <w:ind w:left="0" w:leftChars="0" w:firstLine="0" w:firstLineChars="0"/>
      </w:pPr>
      <w:r>
        <w:drawing>
          <wp:inline distT="0" distB="0" distL="114300" distR="114300">
            <wp:extent cx="5266690" cy="1155065"/>
            <wp:effectExtent l="0" t="0" r="10160" b="6985"/>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117"/>
                    <a:stretch>
                      <a:fillRect/>
                    </a:stretch>
                  </pic:blipFill>
                  <pic:spPr>
                    <a:xfrm>
                      <a:off x="0" y="0"/>
                      <a:ext cx="5266690" cy="1155065"/>
                    </a:xfrm>
                    <a:prstGeom prst="rect">
                      <a:avLst/>
                    </a:prstGeom>
                    <a:noFill/>
                    <a:ln>
                      <a:noFill/>
                    </a:ln>
                  </pic:spPr>
                </pic:pic>
              </a:graphicData>
            </a:graphic>
          </wp:inline>
        </w:drawing>
      </w:r>
    </w:p>
    <w:p>
      <w:pPr>
        <w:pStyle w:val="3"/>
        <w:bidi w:val="0"/>
        <w:rPr>
          <w:rFonts w:hint="default"/>
          <w:lang w:val="en-US" w:eastAsia="zh-CN"/>
        </w:rPr>
      </w:pPr>
      <w:bookmarkStart w:id="96" w:name="_Toc16565"/>
      <w:r>
        <w:rPr>
          <w:rFonts w:hint="eastAsia"/>
          <w:lang w:val="en-US" w:eastAsia="zh-CN"/>
        </w:rPr>
        <w:t>怎么打印投标名单</w:t>
      </w:r>
      <w:bookmarkEnd w:id="96"/>
    </w:p>
    <w:p>
      <w:pPr>
        <w:rPr>
          <w:rFonts w:hint="default"/>
          <w:lang w:val="en-US" w:eastAsia="zh-CN"/>
        </w:rPr>
      </w:pPr>
      <w:r>
        <w:rPr>
          <w:rFonts w:hint="eastAsia"/>
          <w:lang w:val="en-US" w:eastAsia="zh-CN"/>
        </w:rPr>
        <w:t>对应工程模块下，投标邀请→录入投标信息中，</w:t>
      </w:r>
      <w:r>
        <w:rPr>
          <w:rFonts w:hint="eastAsia"/>
          <w:b/>
          <w:bCs/>
          <w:color w:val="FF0000"/>
          <w:lang w:val="en-US" w:eastAsia="zh-CN"/>
        </w:rPr>
        <w:t>已过开标时间的，显示投标名单，未过开标时间的，只显示是否大于三家</w:t>
      </w:r>
    </w:p>
    <w:p>
      <w:pPr>
        <w:ind w:left="0" w:leftChars="0" w:firstLine="0" w:firstLineChars="0"/>
        <w:rPr>
          <w:rFonts w:hint="default"/>
          <w:lang w:val="en-US" w:eastAsia="zh-CN"/>
        </w:rPr>
      </w:pPr>
      <w:r>
        <w:drawing>
          <wp:inline distT="0" distB="0" distL="114300" distR="114300">
            <wp:extent cx="5266690" cy="990600"/>
            <wp:effectExtent l="0" t="0" r="10160" b="0"/>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118"/>
                    <a:stretch>
                      <a:fillRect/>
                    </a:stretch>
                  </pic:blipFill>
                  <pic:spPr>
                    <a:xfrm>
                      <a:off x="0" y="0"/>
                      <a:ext cx="5266690" cy="990600"/>
                    </a:xfrm>
                    <a:prstGeom prst="rect">
                      <a:avLst/>
                    </a:prstGeom>
                    <a:noFill/>
                    <a:ln>
                      <a:noFill/>
                    </a:ln>
                  </pic:spPr>
                </pic:pic>
              </a:graphicData>
            </a:graphic>
          </wp:inline>
        </w:drawing>
      </w:r>
    </w:p>
    <w:sectPr>
      <w:footerReference r:id="rId10" w:type="first"/>
      <w:footerReference r:id="rId9" w:type="default"/>
      <w:pgSz w:w="11906" w:h="16838"/>
      <w:pgMar w:top="1440" w:right="1797" w:bottom="1440" w:left="1797" w:header="454" w:footer="680"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sz="24" w:space="5"/>
      </w:pBdr>
      <w:wordWrap w:val="0"/>
      <w:spacing w:line="240" w:lineRule="auto"/>
      <w:ind w:firstLine="360"/>
      <w:rPr>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sz="24" w:space="5"/>
      </w:pBdr>
      <w:wordWrap w:val="0"/>
      <w:spacing w:line="240" w:lineRule="auto"/>
      <w:ind w:firstLine="360"/>
      <w:rPr>
        <w:lang w:val="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k9xs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s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8CT3GxQCAAAVBAAADgAAAAAAAAAB&#10;ACAAAAAfAQAAZHJzL2Uyb0RvYy54bWxQSwUGAAAAAAYABgBZAQAApQU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thickThinSmallGap" w:color="622423" w:sz="24" w:space="1"/>
      </w:pBdr>
      <w:spacing w:line="240" w:lineRule="auto"/>
      <w:ind w:firstLine="0" w:firstLineChars="0"/>
      <w:jc w:val="left"/>
    </w:pPr>
    <w:r>
      <w:rPr>
        <w:rFonts w:hint="eastAsia" w:ascii="宋体" w:hAnsi="宋体"/>
        <w:lang w:val="en-US" w:eastAsia="zh-CN"/>
      </w:rPr>
      <w:t>塔城地区交易平台招标代理操作手册及常见问题解答</w:t>
    </w:r>
    <w:r>
      <w:rPr>
        <w:rFonts w:hint="eastAsia" w:ascii="Cambria" w:hAnsi="Cambr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C21CA"/>
    <w:multiLevelType w:val="multilevel"/>
    <w:tmpl w:val="5C4C21CA"/>
    <w:lvl w:ilvl="0" w:tentative="0">
      <w:start w:val="1"/>
      <w:numFmt w:val="chineseCountingThousand"/>
      <w:pStyle w:val="2"/>
      <w:suff w:val="nothing"/>
      <w:lvlText w:val="%1、"/>
      <w:lvlJc w:val="left"/>
      <w:pPr>
        <w:ind w:left="142" w:firstLine="0"/>
      </w:pPr>
      <w:rPr>
        <w:rFonts w:hint="eastAsia"/>
        <w:lang w:val="en-US"/>
      </w:rPr>
    </w:lvl>
    <w:lvl w:ilvl="1" w:tentative="0">
      <w:start w:val="1"/>
      <w:numFmt w:val="decimal"/>
      <w:pStyle w:val="3"/>
      <w:isLgl/>
      <w:suff w:val="nothing"/>
      <w:lvlText w:val="%1.%2、"/>
      <w:lvlJc w:val="left"/>
      <w:pPr>
        <w:ind w:left="142" w:firstLine="0"/>
      </w:pPr>
      <w:rPr>
        <w:rFonts w:hint="default" w:ascii="Times New Roman" w:hAnsi="Times New Roman" w:cs="Times New Roman"/>
        <w:color w:val="auto"/>
        <w:sz w:val="30"/>
        <w:szCs w:val="30"/>
      </w:rPr>
    </w:lvl>
    <w:lvl w:ilvl="2" w:tentative="0">
      <w:start w:val="1"/>
      <w:numFmt w:val="decimal"/>
      <w:pStyle w:val="4"/>
      <w:isLgl/>
      <w:suff w:val="nothing"/>
      <w:lvlText w:val="%1.%2.%3、"/>
      <w:lvlJc w:val="left"/>
      <w:pPr>
        <w:ind w:left="284"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isLgl/>
      <w:suff w:val="nothing"/>
      <w:lvlText w:val="%1.%2.%3.%4、"/>
      <w:lvlJc w:val="left"/>
      <w:pPr>
        <w:ind w:left="993" w:hanging="851"/>
      </w:pPr>
      <w:rPr>
        <w:rFonts w:hint="default" w:ascii="Times New Roman" w:hAnsi="Times New Roman" w:eastAsia="宋体" w:cs="Times New Roman"/>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tentative="0">
      <w:start w:val="1"/>
      <w:numFmt w:val="decimal"/>
      <w:pStyle w:val="6"/>
      <w:isLgl/>
      <w:suff w:val="nothing"/>
      <w:lvlText w:val="%1.%2.%3.%4.%5、"/>
      <w:lvlJc w:val="left"/>
      <w:pPr>
        <w:ind w:left="1134" w:hanging="992"/>
      </w:pPr>
      <w:rPr>
        <w:rFonts w:hint="eastAsia"/>
      </w:rPr>
    </w:lvl>
    <w:lvl w:ilvl="5" w:tentative="0">
      <w:start w:val="1"/>
      <w:numFmt w:val="decimal"/>
      <w:pStyle w:val="7"/>
      <w:isLgl/>
      <w:suff w:val="nothing"/>
      <w:lvlText w:val="%1.%2.%3.%4.%5.%6、"/>
      <w:lvlJc w:val="left"/>
      <w:pPr>
        <w:ind w:left="1276" w:hanging="1134"/>
      </w:pPr>
      <w:rPr>
        <w:rFonts w:hint="default" w:ascii="Times New Roman" w:hAnsi="Times New Roman" w:cs="Times New Roman"/>
      </w:rPr>
    </w:lvl>
    <w:lvl w:ilvl="6" w:tentative="0">
      <w:start w:val="1"/>
      <w:numFmt w:val="decimal"/>
      <w:isLgl/>
      <w:lvlText w:val="%1.%2.%3.%4.%5.%6.%7"/>
      <w:lvlJc w:val="left"/>
      <w:pPr>
        <w:tabs>
          <w:tab w:val="left" w:pos="1942"/>
        </w:tabs>
        <w:ind w:left="1418" w:hanging="1276"/>
      </w:pPr>
      <w:rPr>
        <w:rFonts w:hint="eastAsia"/>
      </w:rPr>
    </w:lvl>
    <w:lvl w:ilvl="7" w:tentative="0">
      <w:start w:val="1"/>
      <w:numFmt w:val="decimal"/>
      <w:isLgl/>
      <w:lvlText w:val="%1.%2.%3.%4.%5.%6.%7.%8"/>
      <w:lvlJc w:val="left"/>
      <w:pPr>
        <w:tabs>
          <w:tab w:val="left" w:pos="1942"/>
        </w:tabs>
        <w:ind w:left="1560" w:hanging="1418"/>
      </w:pPr>
      <w:rPr>
        <w:rFonts w:hint="eastAsia"/>
      </w:rPr>
    </w:lvl>
    <w:lvl w:ilvl="8" w:tentative="0">
      <w:start w:val="1"/>
      <w:numFmt w:val="decimal"/>
      <w:isLgl/>
      <w:lvlText w:val="%1.%2.%3.%4.%5.%6.%7.%8.%9"/>
      <w:lvlJc w:val="left"/>
      <w:pPr>
        <w:tabs>
          <w:tab w:val="left" w:pos="2302"/>
        </w:tabs>
        <w:ind w:left="1701"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5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RjZTM5ZmYzM2IzN2E4YjNmODYxNDkyNjEyNGQzMTMifQ=="/>
  </w:docVars>
  <w:rsids>
    <w:rsidRoot w:val="006320A1"/>
    <w:rsid w:val="0001467A"/>
    <w:rsid w:val="00016B58"/>
    <w:rsid w:val="00056715"/>
    <w:rsid w:val="00065350"/>
    <w:rsid w:val="000764E9"/>
    <w:rsid w:val="000A23A7"/>
    <w:rsid w:val="000D2549"/>
    <w:rsid w:val="000D2C6D"/>
    <w:rsid w:val="000E2D7D"/>
    <w:rsid w:val="0013537C"/>
    <w:rsid w:val="00141796"/>
    <w:rsid w:val="001440C2"/>
    <w:rsid w:val="00151D02"/>
    <w:rsid w:val="0016455E"/>
    <w:rsid w:val="0017706A"/>
    <w:rsid w:val="0017711F"/>
    <w:rsid w:val="0019173E"/>
    <w:rsid w:val="001C5E88"/>
    <w:rsid w:val="001E3A6A"/>
    <w:rsid w:val="001F66B7"/>
    <w:rsid w:val="00217FF2"/>
    <w:rsid w:val="00243EE1"/>
    <w:rsid w:val="0024711A"/>
    <w:rsid w:val="00271930"/>
    <w:rsid w:val="00280C59"/>
    <w:rsid w:val="00282935"/>
    <w:rsid w:val="00282C82"/>
    <w:rsid w:val="002A1AB8"/>
    <w:rsid w:val="002B3369"/>
    <w:rsid w:val="002D1483"/>
    <w:rsid w:val="002D2C09"/>
    <w:rsid w:val="002E2A41"/>
    <w:rsid w:val="00332C77"/>
    <w:rsid w:val="00336A71"/>
    <w:rsid w:val="003D4DF3"/>
    <w:rsid w:val="003E5EC8"/>
    <w:rsid w:val="003E62CC"/>
    <w:rsid w:val="00437DCB"/>
    <w:rsid w:val="00450DBA"/>
    <w:rsid w:val="00451227"/>
    <w:rsid w:val="004532EC"/>
    <w:rsid w:val="004A28BA"/>
    <w:rsid w:val="004F3C5D"/>
    <w:rsid w:val="004F55E1"/>
    <w:rsid w:val="00532635"/>
    <w:rsid w:val="005331CC"/>
    <w:rsid w:val="0053570D"/>
    <w:rsid w:val="005734C0"/>
    <w:rsid w:val="00597CA0"/>
    <w:rsid w:val="005A15D9"/>
    <w:rsid w:val="005A4EE5"/>
    <w:rsid w:val="005A798F"/>
    <w:rsid w:val="005D6982"/>
    <w:rsid w:val="005F4C5C"/>
    <w:rsid w:val="00602B4A"/>
    <w:rsid w:val="00617B46"/>
    <w:rsid w:val="006320A1"/>
    <w:rsid w:val="00647565"/>
    <w:rsid w:val="00647C7F"/>
    <w:rsid w:val="0068641B"/>
    <w:rsid w:val="006B77D5"/>
    <w:rsid w:val="006D0CFB"/>
    <w:rsid w:val="006D673A"/>
    <w:rsid w:val="006F6AE2"/>
    <w:rsid w:val="00713B8C"/>
    <w:rsid w:val="00734774"/>
    <w:rsid w:val="007421D4"/>
    <w:rsid w:val="00753DEA"/>
    <w:rsid w:val="00766CED"/>
    <w:rsid w:val="007722CB"/>
    <w:rsid w:val="007C2C74"/>
    <w:rsid w:val="007E290A"/>
    <w:rsid w:val="00805132"/>
    <w:rsid w:val="00807142"/>
    <w:rsid w:val="008140BF"/>
    <w:rsid w:val="0082248D"/>
    <w:rsid w:val="00822F9F"/>
    <w:rsid w:val="00834ABD"/>
    <w:rsid w:val="008540AE"/>
    <w:rsid w:val="00874718"/>
    <w:rsid w:val="008750E4"/>
    <w:rsid w:val="008A3255"/>
    <w:rsid w:val="008E6373"/>
    <w:rsid w:val="008F37DD"/>
    <w:rsid w:val="00920E9E"/>
    <w:rsid w:val="0092587E"/>
    <w:rsid w:val="00933F3F"/>
    <w:rsid w:val="00944E44"/>
    <w:rsid w:val="00947B89"/>
    <w:rsid w:val="00947F5E"/>
    <w:rsid w:val="00951A25"/>
    <w:rsid w:val="0098631F"/>
    <w:rsid w:val="00A05AF4"/>
    <w:rsid w:val="00A14BEE"/>
    <w:rsid w:val="00A53B32"/>
    <w:rsid w:val="00A669EF"/>
    <w:rsid w:val="00AA5796"/>
    <w:rsid w:val="00AB6953"/>
    <w:rsid w:val="00AC6412"/>
    <w:rsid w:val="00AE6946"/>
    <w:rsid w:val="00B01C45"/>
    <w:rsid w:val="00B64BB3"/>
    <w:rsid w:val="00B71DBB"/>
    <w:rsid w:val="00B76EC1"/>
    <w:rsid w:val="00B92A69"/>
    <w:rsid w:val="00BB3EA3"/>
    <w:rsid w:val="00BE05B9"/>
    <w:rsid w:val="00BE1539"/>
    <w:rsid w:val="00C069C6"/>
    <w:rsid w:val="00C122FC"/>
    <w:rsid w:val="00C17CAB"/>
    <w:rsid w:val="00C2487D"/>
    <w:rsid w:val="00C27395"/>
    <w:rsid w:val="00C62768"/>
    <w:rsid w:val="00C634A4"/>
    <w:rsid w:val="00C636AA"/>
    <w:rsid w:val="00CE3A9B"/>
    <w:rsid w:val="00CE480B"/>
    <w:rsid w:val="00CF2372"/>
    <w:rsid w:val="00D21EA2"/>
    <w:rsid w:val="00D235E5"/>
    <w:rsid w:val="00D25FF9"/>
    <w:rsid w:val="00D516DE"/>
    <w:rsid w:val="00D57133"/>
    <w:rsid w:val="00D62938"/>
    <w:rsid w:val="00D8591B"/>
    <w:rsid w:val="00DC032B"/>
    <w:rsid w:val="00DE4D03"/>
    <w:rsid w:val="00E00691"/>
    <w:rsid w:val="00E80DE5"/>
    <w:rsid w:val="00EB24FF"/>
    <w:rsid w:val="00ED2680"/>
    <w:rsid w:val="00F435BE"/>
    <w:rsid w:val="00F44B83"/>
    <w:rsid w:val="00F45FEF"/>
    <w:rsid w:val="00F477E8"/>
    <w:rsid w:val="00F5761E"/>
    <w:rsid w:val="00F639AC"/>
    <w:rsid w:val="00F95607"/>
    <w:rsid w:val="013C54D0"/>
    <w:rsid w:val="014B7176"/>
    <w:rsid w:val="01947DBC"/>
    <w:rsid w:val="01BC1A7C"/>
    <w:rsid w:val="02695701"/>
    <w:rsid w:val="028B7042"/>
    <w:rsid w:val="04876B9E"/>
    <w:rsid w:val="04EE5A57"/>
    <w:rsid w:val="05BC4444"/>
    <w:rsid w:val="05CC54FA"/>
    <w:rsid w:val="05D1242C"/>
    <w:rsid w:val="063803CE"/>
    <w:rsid w:val="07F276CC"/>
    <w:rsid w:val="083F48A5"/>
    <w:rsid w:val="08A97150"/>
    <w:rsid w:val="0951640F"/>
    <w:rsid w:val="09D12E06"/>
    <w:rsid w:val="0A6C0BC0"/>
    <w:rsid w:val="0BFA78DD"/>
    <w:rsid w:val="0C4F6911"/>
    <w:rsid w:val="0CF140A9"/>
    <w:rsid w:val="0CF712E9"/>
    <w:rsid w:val="0EA145BB"/>
    <w:rsid w:val="0F0A0084"/>
    <w:rsid w:val="0F4F3CE3"/>
    <w:rsid w:val="0F4F4F4F"/>
    <w:rsid w:val="0F7C364D"/>
    <w:rsid w:val="13AB35B1"/>
    <w:rsid w:val="13B47E87"/>
    <w:rsid w:val="147F7B9C"/>
    <w:rsid w:val="14CB742B"/>
    <w:rsid w:val="153F22D0"/>
    <w:rsid w:val="15B80AE4"/>
    <w:rsid w:val="16410002"/>
    <w:rsid w:val="188215FB"/>
    <w:rsid w:val="188356F2"/>
    <w:rsid w:val="18C024CE"/>
    <w:rsid w:val="19041158"/>
    <w:rsid w:val="194D69CF"/>
    <w:rsid w:val="19BB17CD"/>
    <w:rsid w:val="1AC46F17"/>
    <w:rsid w:val="1CE00056"/>
    <w:rsid w:val="1D8340A8"/>
    <w:rsid w:val="1DFE66C3"/>
    <w:rsid w:val="1E1F6E1C"/>
    <w:rsid w:val="1E451FCA"/>
    <w:rsid w:val="1FBE0BB4"/>
    <w:rsid w:val="21C1322A"/>
    <w:rsid w:val="21E26463"/>
    <w:rsid w:val="220F752C"/>
    <w:rsid w:val="230709F8"/>
    <w:rsid w:val="234A2947"/>
    <w:rsid w:val="23CF230D"/>
    <w:rsid w:val="24F96041"/>
    <w:rsid w:val="27A50325"/>
    <w:rsid w:val="27DC0F1A"/>
    <w:rsid w:val="27EF5B5E"/>
    <w:rsid w:val="284B6462"/>
    <w:rsid w:val="2A7077BE"/>
    <w:rsid w:val="2A90558E"/>
    <w:rsid w:val="2BD01B94"/>
    <w:rsid w:val="2CCC5340"/>
    <w:rsid w:val="30240975"/>
    <w:rsid w:val="30C72E5F"/>
    <w:rsid w:val="31407EA7"/>
    <w:rsid w:val="318B1CB5"/>
    <w:rsid w:val="36090AA3"/>
    <w:rsid w:val="361B1524"/>
    <w:rsid w:val="36C62D64"/>
    <w:rsid w:val="3888694F"/>
    <w:rsid w:val="38AA1C9E"/>
    <w:rsid w:val="392D402A"/>
    <w:rsid w:val="39676570"/>
    <w:rsid w:val="3A5C7152"/>
    <w:rsid w:val="3A95053B"/>
    <w:rsid w:val="3C83738E"/>
    <w:rsid w:val="3D1327E7"/>
    <w:rsid w:val="3D95202A"/>
    <w:rsid w:val="3EA53936"/>
    <w:rsid w:val="3EAE0817"/>
    <w:rsid w:val="40A37392"/>
    <w:rsid w:val="413302C0"/>
    <w:rsid w:val="415A5D51"/>
    <w:rsid w:val="415C4089"/>
    <w:rsid w:val="434C583A"/>
    <w:rsid w:val="43D2593E"/>
    <w:rsid w:val="4421664F"/>
    <w:rsid w:val="44A335AB"/>
    <w:rsid w:val="46AD568D"/>
    <w:rsid w:val="46FF58A2"/>
    <w:rsid w:val="483709EB"/>
    <w:rsid w:val="497F2DFD"/>
    <w:rsid w:val="49C967E9"/>
    <w:rsid w:val="4A23446F"/>
    <w:rsid w:val="4A543F0F"/>
    <w:rsid w:val="4B564314"/>
    <w:rsid w:val="4E3E1FCF"/>
    <w:rsid w:val="4E6D21E0"/>
    <w:rsid w:val="4E9120E2"/>
    <w:rsid w:val="4EFF6A45"/>
    <w:rsid w:val="4F710C4F"/>
    <w:rsid w:val="4FC86646"/>
    <w:rsid w:val="4FD31741"/>
    <w:rsid w:val="501918D3"/>
    <w:rsid w:val="50403009"/>
    <w:rsid w:val="506D5AD7"/>
    <w:rsid w:val="515D6E67"/>
    <w:rsid w:val="53477125"/>
    <w:rsid w:val="550F6C1C"/>
    <w:rsid w:val="5563644C"/>
    <w:rsid w:val="55800103"/>
    <w:rsid w:val="558F013F"/>
    <w:rsid w:val="5735539B"/>
    <w:rsid w:val="583D6A6B"/>
    <w:rsid w:val="583E3E77"/>
    <w:rsid w:val="58531170"/>
    <w:rsid w:val="5A5411E0"/>
    <w:rsid w:val="5AB81367"/>
    <w:rsid w:val="5ABE194C"/>
    <w:rsid w:val="5B48553C"/>
    <w:rsid w:val="5C6F75AA"/>
    <w:rsid w:val="5CA55302"/>
    <w:rsid w:val="5CC87DB5"/>
    <w:rsid w:val="5D2A3466"/>
    <w:rsid w:val="5DF747F8"/>
    <w:rsid w:val="5E6C2850"/>
    <w:rsid w:val="5E84275A"/>
    <w:rsid w:val="5E9C32A1"/>
    <w:rsid w:val="5EAC215D"/>
    <w:rsid w:val="5F976D88"/>
    <w:rsid w:val="603F6D51"/>
    <w:rsid w:val="618C7BE4"/>
    <w:rsid w:val="61D2463D"/>
    <w:rsid w:val="61FC69CF"/>
    <w:rsid w:val="6344781F"/>
    <w:rsid w:val="65C86741"/>
    <w:rsid w:val="65E63A42"/>
    <w:rsid w:val="66A57949"/>
    <w:rsid w:val="670F12CB"/>
    <w:rsid w:val="679B03C8"/>
    <w:rsid w:val="686F2CDA"/>
    <w:rsid w:val="68CB7B3B"/>
    <w:rsid w:val="696C6656"/>
    <w:rsid w:val="69906250"/>
    <w:rsid w:val="6B23555B"/>
    <w:rsid w:val="6BB764CB"/>
    <w:rsid w:val="6C6241FE"/>
    <w:rsid w:val="6C6F5FFE"/>
    <w:rsid w:val="6CCB64DC"/>
    <w:rsid w:val="6D6B799B"/>
    <w:rsid w:val="6DDB13C3"/>
    <w:rsid w:val="6DE52175"/>
    <w:rsid w:val="6E092AF4"/>
    <w:rsid w:val="6F3000DD"/>
    <w:rsid w:val="71643100"/>
    <w:rsid w:val="71867CBF"/>
    <w:rsid w:val="728070E8"/>
    <w:rsid w:val="73D94242"/>
    <w:rsid w:val="741A1E9F"/>
    <w:rsid w:val="762539C3"/>
    <w:rsid w:val="76B563FC"/>
    <w:rsid w:val="76F12897"/>
    <w:rsid w:val="781A3C3C"/>
    <w:rsid w:val="78C94187"/>
    <w:rsid w:val="78E6520E"/>
    <w:rsid w:val="79C96C2B"/>
    <w:rsid w:val="7C9A3E3E"/>
    <w:rsid w:val="7D783478"/>
    <w:rsid w:val="7D7D292E"/>
    <w:rsid w:val="7DE92DE1"/>
    <w:rsid w:val="7EDC2260"/>
    <w:rsid w:val="7F12746F"/>
    <w:rsid w:val="7F8B68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00"/>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94"/>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95"/>
    <w:qFormat/>
    <w:uiPriority w:val="0"/>
    <w:pPr>
      <w:keepNext/>
      <w:keepLines/>
      <w:numPr>
        <w:ilvl w:val="2"/>
        <w:numId w:val="1"/>
      </w:numPr>
      <w:tabs>
        <w:tab w:val="left" w:pos="567"/>
      </w:tabs>
      <w:spacing w:before="120" w:after="120"/>
      <w:ind w:left="142" w:firstLineChars="0"/>
      <w:jc w:val="both"/>
      <w:outlineLvl w:val="2"/>
    </w:pPr>
    <w:rPr>
      <w:b/>
      <w:bCs/>
      <w:sz w:val="28"/>
      <w:szCs w:val="18"/>
    </w:rPr>
  </w:style>
  <w:style w:type="paragraph" w:styleId="5">
    <w:name w:val="heading 4"/>
    <w:basedOn w:val="1"/>
    <w:next w:val="1"/>
    <w:link w:val="104"/>
    <w:qFormat/>
    <w:uiPriority w:val="0"/>
    <w:pPr>
      <w:keepNext/>
      <w:keepLines/>
      <w:numPr>
        <w:ilvl w:val="3"/>
        <w:numId w:val="1"/>
      </w:numPr>
      <w:tabs>
        <w:tab w:val="left" w:pos="504"/>
      </w:tabs>
      <w:spacing w:before="120" w:after="120"/>
      <w:ind w:firstLine="0" w:firstLineChars="0"/>
      <w:outlineLvl w:val="3"/>
    </w:pPr>
    <w:rPr>
      <w:rFonts w:hAnsi="Arial"/>
      <w:b/>
      <w:bCs/>
      <w:sz w:val="24"/>
      <w:szCs w:val="28"/>
    </w:rPr>
  </w:style>
  <w:style w:type="paragraph" w:styleId="6">
    <w:name w:val="heading 5"/>
    <w:basedOn w:val="1"/>
    <w:next w:val="1"/>
    <w:link w:val="83"/>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85"/>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87"/>
    <w:qFormat/>
    <w:uiPriority w:val="0"/>
    <w:pPr>
      <w:tabs>
        <w:tab w:val="left" w:pos="1800"/>
        <w:tab w:val="clear" w:pos="1440"/>
      </w:tabs>
      <w:outlineLvl w:val="6"/>
    </w:pPr>
  </w:style>
  <w:style w:type="paragraph" w:styleId="9">
    <w:name w:val="heading 8"/>
    <w:basedOn w:val="8"/>
    <w:next w:val="1"/>
    <w:link w:val="88"/>
    <w:qFormat/>
    <w:uiPriority w:val="0"/>
    <w:pPr>
      <w:outlineLvl w:val="7"/>
    </w:pPr>
  </w:style>
  <w:style w:type="paragraph" w:styleId="10">
    <w:name w:val="heading 9"/>
    <w:basedOn w:val="9"/>
    <w:next w:val="1"/>
    <w:link w:val="90"/>
    <w:qFormat/>
    <w:uiPriority w:val="0"/>
    <w:pPr>
      <w:tabs>
        <w:tab w:val="left" w:pos="2160"/>
        <w:tab w:val="clear" w:pos="1800"/>
      </w:tabs>
      <w:outlineLvl w:val="8"/>
    </w:pPr>
  </w:style>
  <w:style w:type="character" w:default="1" w:styleId="41">
    <w:name w:val="Default Paragraph Font"/>
    <w:semiHidden/>
    <w:unhideWhenUsed/>
    <w:uiPriority w:val="1"/>
  </w:style>
  <w:style w:type="table" w:default="1" w:styleId="40">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1260"/>
    </w:pPr>
    <w:rPr>
      <w:rFonts w:ascii="Calibri" w:hAnsi="Calibri" w:cs="Calibr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106"/>
    <w:uiPriority w:val="0"/>
    <w:rPr>
      <w:rFonts w:ascii="宋体"/>
      <w:sz w:val="18"/>
      <w:szCs w:val="18"/>
    </w:rPr>
  </w:style>
  <w:style w:type="paragraph" w:styleId="15">
    <w:name w:val="annotation text"/>
    <w:basedOn w:val="1"/>
    <w:link w:val="98"/>
    <w:qFormat/>
    <w:uiPriority w:val="0"/>
  </w:style>
  <w:style w:type="paragraph" w:styleId="16">
    <w:name w:val="Body Text 3"/>
    <w:basedOn w:val="1"/>
    <w:link w:val="108"/>
    <w:qFormat/>
    <w:uiPriority w:val="0"/>
    <w:pPr>
      <w:spacing w:after="120"/>
    </w:pPr>
    <w:rPr>
      <w:sz w:val="16"/>
      <w:szCs w:val="16"/>
    </w:rPr>
  </w:style>
  <w:style w:type="paragraph" w:styleId="17">
    <w:name w:val="Body Text"/>
    <w:basedOn w:val="1"/>
    <w:link w:val="102"/>
    <w:qFormat/>
    <w:uiPriority w:val="0"/>
    <w:pPr>
      <w:spacing w:after="120"/>
    </w:pPr>
  </w:style>
  <w:style w:type="paragraph" w:styleId="18">
    <w:name w:val="Body Text Indent"/>
    <w:basedOn w:val="1"/>
    <w:link w:val="92"/>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Calibri"/>
      <w:szCs w:val="18"/>
    </w:rPr>
  </w:style>
  <w:style w:type="paragraph" w:styleId="20">
    <w:name w:val="toc 3"/>
    <w:basedOn w:val="1"/>
    <w:next w:val="1"/>
    <w:qFormat/>
    <w:uiPriority w:val="39"/>
    <w:pPr>
      <w:spacing w:line="240" w:lineRule="auto"/>
      <w:ind w:firstLine="400" w:firstLineChars="400"/>
    </w:pPr>
    <w:rPr>
      <w:rFonts w:cs="Calibri"/>
      <w:iCs/>
      <w:szCs w:val="20"/>
    </w:rPr>
  </w:style>
  <w:style w:type="paragraph" w:styleId="21">
    <w:name w:val="Plain Text"/>
    <w:basedOn w:val="1"/>
    <w:link w:val="93"/>
    <w:qFormat/>
    <w:uiPriority w:val="0"/>
    <w:rPr>
      <w:rFonts w:ascii="宋体" w:hAnsi="Courier New"/>
    </w:rPr>
  </w:style>
  <w:style w:type="paragraph" w:styleId="22">
    <w:name w:val="toc 8"/>
    <w:basedOn w:val="1"/>
    <w:next w:val="1"/>
    <w:qFormat/>
    <w:uiPriority w:val="39"/>
    <w:pPr>
      <w:ind w:left="1470"/>
    </w:pPr>
    <w:rPr>
      <w:rFonts w:ascii="Calibri" w:hAnsi="Calibri" w:cs="Calibri"/>
      <w:sz w:val="18"/>
      <w:szCs w:val="18"/>
    </w:rPr>
  </w:style>
  <w:style w:type="paragraph" w:styleId="23">
    <w:name w:val="Date"/>
    <w:basedOn w:val="1"/>
    <w:next w:val="1"/>
    <w:link w:val="111"/>
    <w:uiPriority w:val="0"/>
    <w:pPr>
      <w:ind w:left="100" w:leftChars="2500"/>
    </w:pPr>
  </w:style>
  <w:style w:type="paragraph" w:styleId="24">
    <w:name w:val="Body Text Indent 2"/>
    <w:basedOn w:val="1"/>
    <w:link w:val="89"/>
    <w:qFormat/>
    <w:uiPriority w:val="0"/>
    <w:pPr>
      <w:spacing w:after="120" w:line="480" w:lineRule="auto"/>
      <w:ind w:left="420" w:leftChars="200"/>
    </w:pPr>
  </w:style>
  <w:style w:type="paragraph" w:styleId="25">
    <w:name w:val="Balloon Text"/>
    <w:basedOn w:val="1"/>
    <w:link w:val="97"/>
    <w:qFormat/>
    <w:uiPriority w:val="0"/>
    <w:rPr>
      <w:sz w:val="18"/>
      <w:szCs w:val="18"/>
    </w:rPr>
  </w:style>
  <w:style w:type="paragraph" w:styleId="26">
    <w:name w:val="footer"/>
    <w:basedOn w:val="1"/>
    <w:link w:val="96"/>
    <w:uiPriority w:val="99"/>
    <w:pPr>
      <w:tabs>
        <w:tab w:val="center" w:pos="4153"/>
        <w:tab w:val="right" w:pos="8306"/>
      </w:tabs>
      <w:snapToGrid w:val="0"/>
      <w:jc w:val="center"/>
    </w:pPr>
    <w:rPr>
      <w:sz w:val="18"/>
      <w:szCs w:val="18"/>
    </w:rPr>
  </w:style>
  <w:style w:type="paragraph" w:styleId="27">
    <w:name w:val="header"/>
    <w:basedOn w:val="1"/>
    <w:link w:val="84"/>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Calibri"/>
      <w:bCs/>
      <w:caps/>
      <w:szCs w:val="20"/>
    </w:rPr>
  </w:style>
  <w:style w:type="paragraph" w:styleId="29">
    <w:name w:val="toc 4"/>
    <w:basedOn w:val="1"/>
    <w:next w:val="1"/>
    <w:qFormat/>
    <w:uiPriority w:val="39"/>
    <w:pPr>
      <w:spacing w:line="240" w:lineRule="auto"/>
      <w:ind w:firstLine="600" w:firstLineChars="600"/>
    </w:pPr>
    <w:rPr>
      <w:rFonts w:cs="Calibri"/>
      <w:szCs w:val="18"/>
    </w:rPr>
  </w:style>
  <w:style w:type="paragraph" w:styleId="30">
    <w:name w:val="index heading"/>
    <w:basedOn w:val="1"/>
    <w:next w:val="31"/>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Calibri" w:hAnsi="Calibri" w:cs="Calibri"/>
      <w:sz w:val="18"/>
      <w:szCs w:val="18"/>
    </w:rPr>
  </w:style>
  <w:style w:type="paragraph" w:styleId="33">
    <w:name w:val="Body Text Indent 3"/>
    <w:basedOn w:val="1"/>
    <w:link w:val="105"/>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Calibri"/>
      <w:smallCaps/>
      <w:szCs w:val="20"/>
    </w:rPr>
  </w:style>
  <w:style w:type="paragraph" w:styleId="35">
    <w:name w:val="toc 9"/>
    <w:basedOn w:val="1"/>
    <w:next w:val="1"/>
    <w:qFormat/>
    <w:uiPriority w:val="39"/>
    <w:pPr>
      <w:ind w:left="1680"/>
    </w:pPr>
    <w:rPr>
      <w:rFonts w:ascii="Calibri" w:hAnsi="Calibri" w:cs="Calibri"/>
      <w:sz w:val="18"/>
      <w:szCs w:val="18"/>
    </w:rPr>
  </w:style>
  <w:style w:type="paragraph" w:styleId="36">
    <w:name w:val="Body Text 2"/>
    <w:basedOn w:val="1"/>
    <w:link w:val="109"/>
    <w:uiPriority w:val="0"/>
    <w:pPr>
      <w:spacing w:after="120" w:line="480" w:lineRule="auto"/>
    </w:pPr>
  </w:style>
  <w:style w:type="paragraph" w:styleId="37">
    <w:name w:val="Normal (Web)"/>
    <w:basedOn w:val="1"/>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86"/>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39">
    <w:name w:val="Body Text First Indent"/>
    <w:basedOn w:val="17"/>
    <w:link w:val="101"/>
    <w:uiPriority w:val="0"/>
    <w:pPr>
      <w:ind w:firstLine="100" w:firstLineChars="100"/>
    </w:p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Hyperlink"/>
    <w:uiPriority w:val="99"/>
    <w:rPr>
      <w:color w:val="0000FF"/>
      <w:u w:val="single"/>
    </w:rPr>
  </w:style>
  <w:style w:type="character" w:styleId="46">
    <w:name w:val="annotation reference"/>
    <w:uiPriority w:val="0"/>
    <w:rPr>
      <w:sz w:val="21"/>
      <w:szCs w:val="21"/>
    </w:rPr>
  </w:style>
  <w:style w:type="paragraph" w:customStyle="1" w:styleId="47">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48">
    <w:name w:val="正文无缩进"/>
    <w:basedOn w:val="1"/>
    <w:qFormat/>
    <w:uiPriority w:val="0"/>
    <w:pPr>
      <w:spacing w:beforeLines="50" w:line="300" w:lineRule="auto"/>
      <w:jc w:val="center"/>
    </w:pPr>
    <w:rPr>
      <w:rFonts w:ascii="宋体" w:hAnsi="宋体"/>
      <w:sz w:val="24"/>
    </w:rPr>
  </w:style>
  <w:style w:type="paragraph" w:customStyle="1" w:styleId="4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0">
    <w:name w:val="Char Char1"/>
    <w:basedOn w:val="1"/>
    <w:uiPriority w:val="0"/>
    <w:pPr>
      <w:widowControl/>
      <w:spacing w:after="160" w:line="240" w:lineRule="exact"/>
    </w:pPr>
    <w:rPr>
      <w:rFonts w:ascii="Verdana" w:hAnsi="Verdana"/>
      <w:kern w:val="0"/>
      <w:sz w:val="20"/>
      <w:lang w:eastAsia="en-US"/>
    </w:rPr>
  </w:style>
  <w:style w:type="paragraph" w:customStyle="1" w:styleId="51">
    <w:name w:val="4"/>
    <w:basedOn w:val="1"/>
    <w:qFormat/>
    <w:uiPriority w:val="0"/>
    <w:pPr>
      <w:spacing w:line="300" w:lineRule="auto"/>
      <w:ind w:firstLine="480"/>
    </w:pPr>
    <w:rPr>
      <w:sz w:val="24"/>
      <w:szCs w:val="20"/>
    </w:rPr>
  </w:style>
  <w:style w:type="paragraph" w:customStyle="1" w:styleId="52">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53">
    <w:name w:val="Char"/>
    <w:basedOn w:val="1"/>
    <w:uiPriority w:val="0"/>
    <w:pPr>
      <w:tabs>
        <w:tab w:val="left" w:pos="360"/>
      </w:tabs>
    </w:pPr>
    <w:rPr>
      <w:sz w:val="24"/>
    </w:rPr>
  </w:style>
  <w:style w:type="paragraph" w:customStyle="1" w:styleId="54">
    <w:name w:val="Char Char3 Char Char Char Char"/>
    <w:basedOn w:val="1"/>
    <w:uiPriority w:val="0"/>
    <w:pPr>
      <w:widowControl/>
      <w:spacing w:after="160" w:line="240" w:lineRule="exact"/>
    </w:pPr>
    <w:rPr>
      <w:rFonts w:ascii="Verdana" w:hAnsi="Verdana"/>
      <w:kern w:val="0"/>
      <w:sz w:val="20"/>
      <w:szCs w:val="20"/>
      <w:lang w:eastAsia="en-US"/>
    </w:rPr>
  </w:style>
  <w:style w:type="paragraph" w:customStyle="1" w:styleId="55">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56">
    <w:name w:val="Indent Normal"/>
    <w:basedOn w:val="1"/>
    <w:qFormat/>
    <w:uiPriority w:val="0"/>
    <w:pPr>
      <w:ind w:firstLine="150" w:firstLineChars="150"/>
    </w:pPr>
    <w:rPr>
      <w:sz w:val="24"/>
    </w:rPr>
  </w:style>
  <w:style w:type="paragraph" w:customStyle="1" w:styleId="5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58">
    <w:name w:val="样式1"/>
    <w:basedOn w:val="1"/>
    <w:link w:val="127"/>
    <w:qFormat/>
    <w:uiPriority w:val="0"/>
    <w:pPr>
      <w:spacing w:line="300" w:lineRule="auto"/>
      <w:ind w:firstLine="480"/>
    </w:pPr>
    <w:rPr>
      <w:sz w:val="24"/>
    </w:rPr>
  </w:style>
  <w:style w:type="paragraph" w:customStyle="1" w:styleId="59">
    <w:name w:val="正文--表格内正文"/>
    <w:basedOn w:val="1"/>
    <w:qFormat/>
    <w:uiPriority w:val="0"/>
    <w:pPr>
      <w:spacing w:beforeLines="50" w:line="0" w:lineRule="atLeast"/>
      <w:jc w:val="center"/>
    </w:pPr>
    <w:rPr>
      <w:rFonts w:ascii="宋体" w:hAnsi="宋体"/>
      <w:sz w:val="24"/>
    </w:rPr>
  </w:style>
  <w:style w:type="paragraph" w:customStyle="1" w:styleId="6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61">
    <w:name w:val="样式4 Char"/>
    <w:basedOn w:val="1"/>
    <w:qFormat/>
    <w:uiPriority w:val="0"/>
    <w:pPr>
      <w:widowControl/>
      <w:ind w:firstLine="480"/>
    </w:pPr>
    <w:rPr>
      <w:color w:val="000000"/>
      <w:kern w:val="0"/>
      <w:sz w:val="24"/>
    </w:rPr>
  </w:style>
  <w:style w:type="paragraph" w:customStyle="1" w:styleId="62">
    <w:name w:val="列出段落1"/>
    <w:basedOn w:val="1"/>
    <w:qFormat/>
    <w:uiPriority w:val="34"/>
  </w:style>
  <w:style w:type="paragraph" w:customStyle="1" w:styleId="6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64">
    <w:name w:val="FA正文"/>
    <w:basedOn w:val="1"/>
    <w:link w:val="107"/>
    <w:uiPriority w:val="0"/>
    <w:pPr>
      <w:tabs>
        <w:tab w:val="left" w:pos="3375"/>
      </w:tabs>
      <w:ind w:firstLine="520"/>
    </w:pPr>
    <w:rPr>
      <w:rFonts w:ascii="宋体" w:hAnsi="宋体"/>
      <w:spacing w:val="10"/>
      <w:sz w:val="24"/>
    </w:rPr>
  </w:style>
  <w:style w:type="paragraph" w:customStyle="1" w:styleId="6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6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67">
    <w:name w:val="样式2"/>
    <w:basedOn w:val="1"/>
    <w:link w:val="113"/>
    <w:qFormat/>
    <w:uiPriority w:val="0"/>
    <w:pPr>
      <w:spacing w:before="120" w:after="120"/>
      <w:outlineLvl w:val="1"/>
    </w:pPr>
    <w:rPr>
      <w:b/>
      <w:sz w:val="30"/>
    </w:rPr>
  </w:style>
  <w:style w:type="paragraph" w:customStyle="1" w:styleId="68">
    <w:name w:val="样式3"/>
    <w:basedOn w:val="27"/>
    <w:link w:val="114"/>
    <w:qFormat/>
    <w:uiPriority w:val="0"/>
    <w:pPr>
      <w:ind w:firstLine="360"/>
    </w:pPr>
  </w:style>
  <w:style w:type="paragraph" w:customStyle="1" w:styleId="69">
    <w:name w:val="样式4"/>
    <w:basedOn w:val="68"/>
    <w:link w:val="115"/>
    <w:qFormat/>
    <w:uiPriority w:val="0"/>
  </w:style>
  <w:style w:type="paragraph" w:customStyle="1" w:styleId="70">
    <w:name w:val="样式5"/>
    <w:basedOn w:val="27"/>
    <w:link w:val="116"/>
    <w:qFormat/>
    <w:uiPriority w:val="0"/>
    <w:pPr>
      <w:ind w:firstLine="360"/>
    </w:pPr>
  </w:style>
  <w:style w:type="paragraph" w:customStyle="1" w:styleId="71">
    <w:name w:val="样式6"/>
    <w:basedOn w:val="27"/>
    <w:link w:val="117"/>
    <w:qFormat/>
    <w:uiPriority w:val="0"/>
    <w:pPr>
      <w:ind w:firstLine="360"/>
    </w:pPr>
  </w:style>
  <w:style w:type="paragraph" w:customStyle="1" w:styleId="72">
    <w:name w:val="样式7"/>
    <w:basedOn w:val="4"/>
    <w:link w:val="118"/>
    <w:qFormat/>
    <w:uiPriority w:val="0"/>
  </w:style>
  <w:style w:type="paragraph" w:customStyle="1" w:styleId="73">
    <w:name w:val="样式8"/>
    <w:basedOn w:val="26"/>
    <w:link w:val="119"/>
    <w:qFormat/>
    <w:uiPriority w:val="0"/>
    <w:pPr>
      <w:ind w:firstLine="0" w:firstLineChars="0"/>
      <w:jc w:val="left"/>
    </w:pPr>
  </w:style>
  <w:style w:type="paragraph" w:customStyle="1" w:styleId="74">
    <w:name w:val="样式9"/>
    <w:basedOn w:val="73"/>
    <w:link w:val="120"/>
    <w:qFormat/>
    <w:uiPriority w:val="0"/>
    <w:pPr>
      <w:jc w:val="center"/>
    </w:pPr>
  </w:style>
  <w:style w:type="paragraph" w:customStyle="1" w:styleId="75">
    <w:name w:val="样式10"/>
    <w:basedOn w:val="74"/>
    <w:link w:val="121"/>
    <w:uiPriority w:val="0"/>
    <w:pPr>
      <w:pBdr>
        <w:top w:val="single" w:color="76923C" w:sz="24" w:space="1"/>
      </w:pBdr>
    </w:pPr>
  </w:style>
  <w:style w:type="paragraph" w:customStyle="1" w:styleId="76">
    <w:name w:val="样式11"/>
    <w:basedOn w:val="75"/>
    <w:link w:val="122"/>
    <w:uiPriority w:val="0"/>
    <w:pPr>
      <w:pBdr>
        <w:top w:val="none" w:color="auto" w:sz="0" w:space="0"/>
      </w:pBdr>
    </w:pPr>
  </w:style>
  <w:style w:type="paragraph" w:customStyle="1" w:styleId="77">
    <w:name w:val="样式12"/>
    <w:basedOn w:val="76"/>
    <w:link w:val="123"/>
    <w:uiPriority w:val="0"/>
  </w:style>
  <w:style w:type="paragraph" w:customStyle="1" w:styleId="78">
    <w:name w:val="样式13"/>
    <w:basedOn w:val="72"/>
    <w:link w:val="124"/>
    <w:qFormat/>
    <w:uiPriority w:val="0"/>
  </w:style>
  <w:style w:type="paragraph" w:customStyle="1" w:styleId="79">
    <w:name w:val="2"/>
    <w:basedOn w:val="1"/>
    <w:link w:val="125"/>
    <w:qFormat/>
    <w:uiPriority w:val="0"/>
    <w:pPr>
      <w:autoSpaceDE w:val="0"/>
      <w:autoSpaceDN w:val="0"/>
      <w:adjustRightInd w:val="0"/>
      <w:ind w:firstLine="0" w:firstLineChars="0"/>
      <w:jc w:val="center"/>
    </w:pPr>
    <w:rPr>
      <w:spacing w:val="4"/>
    </w:rPr>
  </w:style>
  <w:style w:type="paragraph" w:customStyle="1" w:styleId="80">
    <w:name w:val="1"/>
    <w:basedOn w:val="1"/>
    <w:link w:val="126"/>
    <w:qFormat/>
    <w:uiPriority w:val="0"/>
    <w:pPr>
      <w:ind w:firstLine="0" w:firstLineChars="0"/>
    </w:pPr>
  </w:style>
  <w:style w:type="paragraph" w:customStyle="1" w:styleId="81">
    <w:name w:val="飞越型"/>
    <w:uiPriority w:val="0"/>
    <w:pPr>
      <w:spacing w:after="200" w:line="276" w:lineRule="auto"/>
    </w:pPr>
    <w:rPr>
      <w:rFonts w:ascii="Calibri" w:hAnsi="Calibri" w:eastAsia="宋体" w:cs="黑体"/>
      <w:sz w:val="22"/>
      <w:szCs w:val="22"/>
      <w:lang w:val="en-US" w:eastAsia="zh-CN" w:bidi="ar-SA"/>
    </w:rPr>
  </w:style>
  <w:style w:type="paragraph" w:customStyle="1" w:styleId="8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character" w:customStyle="1" w:styleId="83">
    <w:name w:val="标题 5 Char"/>
    <w:link w:val="6"/>
    <w:uiPriority w:val="0"/>
    <w:rPr>
      <w:b/>
      <w:bCs/>
      <w:kern w:val="2"/>
      <w:sz w:val="28"/>
      <w:szCs w:val="28"/>
    </w:rPr>
  </w:style>
  <w:style w:type="character" w:customStyle="1" w:styleId="84">
    <w:name w:val="页眉 Char"/>
    <w:link w:val="27"/>
    <w:uiPriority w:val="99"/>
    <w:rPr>
      <w:kern w:val="2"/>
      <w:sz w:val="18"/>
      <w:szCs w:val="18"/>
    </w:rPr>
  </w:style>
  <w:style w:type="character" w:customStyle="1" w:styleId="85">
    <w:name w:val="标题 6 Char"/>
    <w:link w:val="7"/>
    <w:uiPriority w:val="0"/>
    <w:rPr>
      <w:b/>
      <w:bCs/>
      <w:kern w:val="2"/>
      <w:sz w:val="30"/>
      <w:szCs w:val="18"/>
    </w:rPr>
  </w:style>
  <w:style w:type="character" w:customStyle="1" w:styleId="86">
    <w:name w:val="标题 Char"/>
    <w:link w:val="38"/>
    <w:uiPriority w:val="0"/>
    <w:rPr>
      <w:rFonts w:ascii="Arial" w:hAnsi="Arial" w:cs="Arial"/>
      <w:b/>
      <w:bCs/>
      <w:kern w:val="2"/>
      <w:sz w:val="32"/>
      <w:szCs w:val="32"/>
    </w:rPr>
  </w:style>
  <w:style w:type="character" w:customStyle="1" w:styleId="87">
    <w:name w:val="标题 7 Char"/>
    <w:link w:val="8"/>
    <w:uiPriority w:val="0"/>
    <w:rPr>
      <w:b/>
      <w:bCs/>
      <w:kern w:val="2"/>
      <w:sz w:val="30"/>
      <w:szCs w:val="18"/>
    </w:rPr>
  </w:style>
  <w:style w:type="character" w:customStyle="1" w:styleId="88">
    <w:name w:val="标题 8 Char"/>
    <w:link w:val="9"/>
    <w:uiPriority w:val="0"/>
    <w:rPr>
      <w:b/>
      <w:bCs/>
      <w:kern w:val="2"/>
      <w:sz w:val="30"/>
      <w:szCs w:val="18"/>
    </w:rPr>
  </w:style>
  <w:style w:type="character" w:customStyle="1" w:styleId="89">
    <w:name w:val="正文文本缩进 2 Char"/>
    <w:link w:val="24"/>
    <w:uiPriority w:val="0"/>
    <w:rPr>
      <w:kern w:val="2"/>
      <w:sz w:val="21"/>
      <w:szCs w:val="24"/>
    </w:rPr>
  </w:style>
  <w:style w:type="character" w:customStyle="1" w:styleId="90">
    <w:name w:val="标题 9 Char"/>
    <w:link w:val="10"/>
    <w:uiPriority w:val="0"/>
    <w:rPr>
      <w:b/>
      <w:bCs/>
      <w:kern w:val="2"/>
      <w:sz w:val="30"/>
      <w:szCs w:val="18"/>
    </w:rPr>
  </w:style>
  <w:style w:type="character" w:customStyle="1" w:styleId="91">
    <w:name w:val="large1"/>
    <w:uiPriority w:val="0"/>
    <w:rPr>
      <w:rFonts w:hint="eastAsia" w:ascii="宋体" w:hAnsi="宋体" w:eastAsia="宋体"/>
      <w:sz w:val="22"/>
      <w:szCs w:val="22"/>
    </w:rPr>
  </w:style>
  <w:style w:type="character" w:customStyle="1" w:styleId="92">
    <w:name w:val="正文文本缩进 Char"/>
    <w:link w:val="18"/>
    <w:uiPriority w:val="0"/>
    <w:rPr>
      <w:kern w:val="2"/>
      <w:sz w:val="21"/>
      <w:szCs w:val="24"/>
    </w:rPr>
  </w:style>
  <w:style w:type="character" w:customStyle="1" w:styleId="93">
    <w:name w:val="纯文本 Char"/>
    <w:link w:val="21"/>
    <w:uiPriority w:val="0"/>
    <w:rPr>
      <w:rFonts w:ascii="宋体" w:hAnsi="Courier New"/>
      <w:kern w:val="2"/>
      <w:sz w:val="21"/>
    </w:rPr>
  </w:style>
  <w:style w:type="character" w:customStyle="1" w:styleId="94">
    <w:name w:val="标题 2 Char"/>
    <w:link w:val="3"/>
    <w:qFormat/>
    <w:uiPriority w:val="0"/>
    <w:rPr>
      <w:b/>
      <w:bCs/>
      <w:kern w:val="2"/>
      <w:sz w:val="30"/>
      <w:szCs w:val="32"/>
    </w:rPr>
  </w:style>
  <w:style w:type="character" w:customStyle="1" w:styleId="95">
    <w:name w:val="标题 3 Char"/>
    <w:link w:val="4"/>
    <w:uiPriority w:val="0"/>
    <w:rPr>
      <w:rFonts w:eastAsia="宋体"/>
      <w:b/>
      <w:bCs/>
      <w:kern w:val="2"/>
      <w:sz w:val="28"/>
      <w:szCs w:val="18"/>
    </w:rPr>
  </w:style>
  <w:style w:type="character" w:customStyle="1" w:styleId="96">
    <w:name w:val="页脚 Char"/>
    <w:link w:val="26"/>
    <w:uiPriority w:val="99"/>
    <w:rPr>
      <w:kern w:val="2"/>
      <w:sz w:val="18"/>
      <w:szCs w:val="18"/>
    </w:rPr>
  </w:style>
  <w:style w:type="character" w:customStyle="1" w:styleId="97">
    <w:name w:val="批注框文本 Char"/>
    <w:link w:val="25"/>
    <w:uiPriority w:val="0"/>
    <w:rPr>
      <w:kern w:val="2"/>
      <w:sz w:val="18"/>
      <w:szCs w:val="18"/>
    </w:rPr>
  </w:style>
  <w:style w:type="character" w:customStyle="1" w:styleId="98">
    <w:name w:val="批注文字 Char"/>
    <w:link w:val="15"/>
    <w:uiPriority w:val="0"/>
    <w:rPr>
      <w:kern w:val="2"/>
      <w:sz w:val="21"/>
      <w:szCs w:val="24"/>
    </w:rPr>
  </w:style>
  <w:style w:type="character" w:customStyle="1" w:styleId="99">
    <w:name w:val="14_black1"/>
    <w:uiPriority w:val="0"/>
    <w:rPr>
      <w:color w:val="000000"/>
      <w:sz w:val="23"/>
      <w:szCs w:val="23"/>
    </w:rPr>
  </w:style>
  <w:style w:type="character" w:customStyle="1" w:styleId="100">
    <w:name w:val="标题 1 Char"/>
    <w:link w:val="2"/>
    <w:uiPriority w:val="0"/>
    <w:rPr>
      <w:b/>
      <w:bCs/>
      <w:kern w:val="44"/>
      <w:sz w:val="32"/>
      <w:szCs w:val="28"/>
    </w:rPr>
  </w:style>
  <w:style w:type="character" w:customStyle="1" w:styleId="101">
    <w:name w:val="正文首行缩进 Char"/>
    <w:link w:val="39"/>
    <w:qFormat/>
    <w:uiPriority w:val="0"/>
    <w:rPr>
      <w:kern w:val="2"/>
      <w:sz w:val="21"/>
      <w:szCs w:val="24"/>
    </w:rPr>
  </w:style>
  <w:style w:type="character" w:customStyle="1" w:styleId="102">
    <w:name w:val="正文文本 Char"/>
    <w:link w:val="17"/>
    <w:uiPriority w:val="0"/>
    <w:rPr>
      <w:kern w:val="2"/>
      <w:sz w:val="21"/>
      <w:szCs w:val="24"/>
    </w:rPr>
  </w:style>
  <w:style w:type="character" w:customStyle="1" w:styleId="103">
    <w:name w:val="f141"/>
    <w:qFormat/>
    <w:uiPriority w:val="0"/>
    <w:rPr>
      <w:sz w:val="21"/>
      <w:szCs w:val="21"/>
    </w:rPr>
  </w:style>
  <w:style w:type="character" w:customStyle="1" w:styleId="104">
    <w:name w:val="标题 4 Char"/>
    <w:link w:val="5"/>
    <w:qFormat/>
    <w:uiPriority w:val="0"/>
    <w:rPr>
      <w:rFonts w:hAnsi="Arial"/>
      <w:b/>
      <w:bCs/>
      <w:kern w:val="2"/>
      <w:sz w:val="24"/>
      <w:szCs w:val="28"/>
    </w:rPr>
  </w:style>
  <w:style w:type="character" w:customStyle="1" w:styleId="105">
    <w:name w:val="正文文本缩进 3 Char"/>
    <w:link w:val="33"/>
    <w:uiPriority w:val="0"/>
    <w:rPr>
      <w:kern w:val="2"/>
      <w:sz w:val="16"/>
      <w:szCs w:val="16"/>
    </w:rPr>
  </w:style>
  <w:style w:type="character" w:customStyle="1" w:styleId="106">
    <w:name w:val="文档结构图 Char"/>
    <w:link w:val="14"/>
    <w:qFormat/>
    <w:uiPriority w:val="0"/>
    <w:rPr>
      <w:rFonts w:ascii="宋体"/>
      <w:kern w:val="2"/>
      <w:sz w:val="18"/>
      <w:szCs w:val="18"/>
    </w:rPr>
  </w:style>
  <w:style w:type="character" w:customStyle="1" w:styleId="107">
    <w:name w:val="FA正文 Char"/>
    <w:link w:val="64"/>
    <w:qFormat/>
    <w:uiPriority w:val="0"/>
    <w:rPr>
      <w:rFonts w:ascii="宋体" w:hAnsi="宋体"/>
      <w:spacing w:val="10"/>
      <w:kern w:val="2"/>
      <w:sz w:val="24"/>
      <w:szCs w:val="24"/>
    </w:rPr>
  </w:style>
  <w:style w:type="character" w:customStyle="1" w:styleId="108">
    <w:name w:val="正文文本 3 Char"/>
    <w:link w:val="16"/>
    <w:qFormat/>
    <w:uiPriority w:val="0"/>
    <w:rPr>
      <w:kern w:val="2"/>
      <w:sz w:val="16"/>
      <w:szCs w:val="16"/>
    </w:rPr>
  </w:style>
  <w:style w:type="character" w:customStyle="1" w:styleId="109">
    <w:name w:val="正文文本 2 Char"/>
    <w:link w:val="36"/>
    <w:uiPriority w:val="0"/>
    <w:rPr>
      <w:kern w:val="2"/>
      <w:sz w:val="21"/>
      <w:szCs w:val="24"/>
    </w:rPr>
  </w:style>
  <w:style w:type="character" w:customStyle="1" w:styleId="110">
    <w:name w:val="Indent Normal Char"/>
    <w:uiPriority w:val="0"/>
    <w:rPr>
      <w:rFonts w:eastAsia="宋体"/>
      <w:kern w:val="2"/>
      <w:sz w:val="21"/>
      <w:szCs w:val="24"/>
      <w:lang w:val="en-US" w:eastAsia="zh-CN" w:bidi="ar-SA"/>
    </w:rPr>
  </w:style>
  <w:style w:type="character" w:customStyle="1" w:styleId="111">
    <w:name w:val="日期 Char"/>
    <w:link w:val="23"/>
    <w:uiPriority w:val="0"/>
    <w:rPr>
      <w:kern w:val="2"/>
      <w:sz w:val="21"/>
      <w:szCs w:val="24"/>
    </w:rPr>
  </w:style>
  <w:style w:type="character" w:customStyle="1" w:styleId="112">
    <w:name w:val="p11b1"/>
    <w:uiPriority w:val="0"/>
    <w:rPr>
      <w:color w:val="000000"/>
      <w:spacing w:val="320"/>
      <w:sz w:val="20"/>
      <w:szCs w:val="20"/>
      <w:u w:val="none"/>
    </w:rPr>
  </w:style>
  <w:style w:type="character" w:customStyle="1" w:styleId="113">
    <w:name w:val="样式2 Char"/>
    <w:link w:val="67"/>
    <w:qFormat/>
    <w:uiPriority w:val="0"/>
    <w:rPr>
      <w:b/>
      <w:kern w:val="2"/>
      <w:sz w:val="30"/>
      <w:szCs w:val="24"/>
    </w:rPr>
  </w:style>
  <w:style w:type="character" w:customStyle="1" w:styleId="114">
    <w:name w:val="样式3 Char"/>
    <w:link w:val="68"/>
    <w:qFormat/>
    <w:uiPriority w:val="0"/>
    <w:rPr>
      <w:kern w:val="2"/>
      <w:sz w:val="18"/>
      <w:szCs w:val="18"/>
    </w:rPr>
  </w:style>
  <w:style w:type="character" w:customStyle="1" w:styleId="115">
    <w:name w:val="样式4 Char1"/>
    <w:link w:val="69"/>
    <w:qFormat/>
    <w:uiPriority w:val="0"/>
    <w:rPr>
      <w:kern w:val="2"/>
      <w:sz w:val="18"/>
      <w:szCs w:val="18"/>
    </w:rPr>
  </w:style>
  <w:style w:type="character" w:customStyle="1" w:styleId="116">
    <w:name w:val="样式5 Char"/>
    <w:link w:val="70"/>
    <w:qFormat/>
    <w:uiPriority w:val="0"/>
    <w:rPr>
      <w:kern w:val="2"/>
      <w:sz w:val="18"/>
      <w:szCs w:val="18"/>
    </w:rPr>
  </w:style>
  <w:style w:type="character" w:customStyle="1" w:styleId="117">
    <w:name w:val="样式6 Char"/>
    <w:link w:val="71"/>
    <w:uiPriority w:val="0"/>
    <w:rPr>
      <w:kern w:val="2"/>
      <w:sz w:val="18"/>
      <w:szCs w:val="18"/>
    </w:rPr>
  </w:style>
  <w:style w:type="character" w:customStyle="1" w:styleId="118">
    <w:name w:val="样式7 Char"/>
    <w:link w:val="72"/>
    <w:qFormat/>
    <w:uiPriority w:val="0"/>
    <w:rPr>
      <w:b/>
      <w:bCs/>
      <w:kern w:val="2"/>
      <w:sz w:val="28"/>
      <w:szCs w:val="18"/>
    </w:rPr>
  </w:style>
  <w:style w:type="character" w:customStyle="1" w:styleId="119">
    <w:name w:val="样式8 Char"/>
    <w:link w:val="73"/>
    <w:uiPriority w:val="0"/>
    <w:rPr>
      <w:kern w:val="2"/>
      <w:sz w:val="18"/>
      <w:szCs w:val="18"/>
    </w:rPr>
  </w:style>
  <w:style w:type="character" w:customStyle="1" w:styleId="120">
    <w:name w:val="样式9 Char"/>
    <w:link w:val="74"/>
    <w:uiPriority w:val="0"/>
    <w:rPr>
      <w:kern w:val="2"/>
      <w:sz w:val="18"/>
      <w:szCs w:val="18"/>
    </w:rPr>
  </w:style>
  <w:style w:type="character" w:customStyle="1" w:styleId="121">
    <w:name w:val="样式10 Char"/>
    <w:link w:val="75"/>
    <w:uiPriority w:val="0"/>
    <w:rPr>
      <w:kern w:val="2"/>
      <w:sz w:val="18"/>
      <w:szCs w:val="18"/>
    </w:rPr>
  </w:style>
  <w:style w:type="character" w:customStyle="1" w:styleId="122">
    <w:name w:val="样式11 Char"/>
    <w:link w:val="76"/>
    <w:uiPriority w:val="0"/>
    <w:rPr>
      <w:kern w:val="2"/>
      <w:sz w:val="18"/>
      <w:szCs w:val="18"/>
    </w:rPr>
  </w:style>
  <w:style w:type="character" w:customStyle="1" w:styleId="123">
    <w:name w:val="样式12 Char"/>
    <w:link w:val="77"/>
    <w:uiPriority w:val="0"/>
    <w:rPr>
      <w:kern w:val="2"/>
      <w:sz w:val="18"/>
      <w:szCs w:val="18"/>
    </w:rPr>
  </w:style>
  <w:style w:type="character" w:customStyle="1" w:styleId="124">
    <w:name w:val="样式13 Char"/>
    <w:link w:val="78"/>
    <w:qFormat/>
    <w:uiPriority w:val="0"/>
    <w:rPr>
      <w:b/>
      <w:bCs/>
      <w:kern w:val="2"/>
      <w:sz w:val="28"/>
      <w:szCs w:val="18"/>
    </w:rPr>
  </w:style>
  <w:style w:type="character" w:customStyle="1" w:styleId="125">
    <w:name w:val="2 Char"/>
    <w:link w:val="79"/>
    <w:qFormat/>
    <w:uiPriority w:val="0"/>
    <w:rPr>
      <w:spacing w:val="4"/>
      <w:kern w:val="2"/>
      <w:sz w:val="21"/>
      <w:szCs w:val="24"/>
    </w:rPr>
  </w:style>
  <w:style w:type="character" w:customStyle="1" w:styleId="126">
    <w:name w:val="1 Char"/>
    <w:link w:val="80"/>
    <w:qFormat/>
    <w:uiPriority w:val="0"/>
    <w:rPr>
      <w:kern w:val="2"/>
      <w:sz w:val="21"/>
      <w:szCs w:val="24"/>
    </w:rPr>
  </w:style>
  <w:style w:type="character" w:customStyle="1" w:styleId="127">
    <w:name w:val="样式1 Char"/>
    <w:link w:val="58"/>
    <w:qFormat/>
    <w:uiPriority w:val="0"/>
    <w:rPr>
      <w:kern w:val="2"/>
      <w:sz w:val="24"/>
      <w:szCs w:val="24"/>
    </w:rPr>
  </w:style>
  <w:style w:type="paragraph" w:styleId="128">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2" Type="http://schemas.openxmlformats.org/officeDocument/2006/relationships/fontTable" Target="fontTable.xml"/><Relationship Id="rId121" Type="http://schemas.openxmlformats.org/officeDocument/2006/relationships/customXml" Target="../customXml/item2.xml"/><Relationship Id="rId120" Type="http://schemas.openxmlformats.org/officeDocument/2006/relationships/numbering" Target="numbering.xml"/><Relationship Id="rId12" Type="http://schemas.openxmlformats.org/officeDocument/2006/relationships/image" Target="media/image1.jpeg"/><Relationship Id="rId119" Type="http://schemas.openxmlformats.org/officeDocument/2006/relationships/customXml" Target="../customXml/item1.xml"/><Relationship Id="rId118" Type="http://schemas.openxmlformats.org/officeDocument/2006/relationships/image" Target="media/image107.png"/><Relationship Id="rId117" Type="http://schemas.openxmlformats.org/officeDocument/2006/relationships/image" Target="media/image106.png"/><Relationship Id="rId116" Type="http://schemas.openxmlformats.org/officeDocument/2006/relationships/image" Target="media/image105.png"/><Relationship Id="rId115" Type="http://schemas.openxmlformats.org/officeDocument/2006/relationships/image" Target="media/image104.png"/><Relationship Id="rId114" Type="http://schemas.openxmlformats.org/officeDocument/2006/relationships/image" Target="media/image103.png"/><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5AD470-5E77-4D13-AE43-4EAEBCF6F449}">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21</Pages>
  <Words>1622</Words>
  <Characters>1731</Characters>
  <Lines>20</Lines>
  <Paragraphs>5</Paragraphs>
  <TotalTime>1</TotalTime>
  <ScaleCrop>false</ScaleCrop>
  <LinksUpToDate>false</LinksUpToDate>
  <CharactersWithSpaces>1764</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2020-07-10T03:35:00Z</dcterms:created>
  <dc:creator>yuanxun</dc:creator>
  <cp:lastModifiedBy>陈钱</cp:lastModifiedBy>
  <dcterms:modified xsi:type="dcterms:W3CDTF">2023-12-06T04:50:55Z</dcterms:modified>
  <dc:title>_x0001_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789E773273CE41B9B36FEDCEA28ED678</vt:lpwstr>
  </property>
</Properties>
</file>